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3999" w14:textId="77777777" w:rsidR="009D46A3" w:rsidRPr="00B83D0C" w:rsidRDefault="009D46A3" w:rsidP="009D46A3">
      <w:pPr>
        <w:spacing w:line="240" w:lineRule="auto"/>
        <w:jc w:val="both"/>
        <w:rPr>
          <w:rFonts w:cstheme="minorHAnsi"/>
          <w:b/>
          <w:bCs/>
          <w:sz w:val="24"/>
          <w:szCs w:val="24"/>
        </w:rPr>
      </w:pPr>
      <w:r w:rsidRPr="00B83D0C">
        <w:rPr>
          <w:rFonts w:cstheme="minorHAnsi"/>
          <w:b/>
          <w:bCs/>
          <w:sz w:val="24"/>
          <w:szCs w:val="24"/>
        </w:rPr>
        <w:t xml:space="preserve">Purpose:  </w:t>
      </w:r>
    </w:p>
    <w:p w14:paraId="663D6C76" w14:textId="77777777" w:rsidR="009D46A3" w:rsidRPr="00B83D0C" w:rsidRDefault="009D46A3" w:rsidP="009D46A3">
      <w:pPr>
        <w:pStyle w:val="BodyText"/>
        <w:spacing w:before="55" w:after="160"/>
        <w:jc w:val="both"/>
        <w:rPr>
          <w:rFonts w:asciiTheme="minorHAnsi" w:hAnsiTheme="minorHAnsi" w:cstheme="minorHAnsi"/>
        </w:rPr>
      </w:pPr>
      <w:r w:rsidRPr="00B83D0C">
        <w:rPr>
          <w:rFonts w:asciiTheme="minorHAnsi" w:hAnsiTheme="minorHAnsi" w:cstheme="minorHAnsi"/>
        </w:rPr>
        <w:t xml:space="preserve">To provide </w:t>
      </w:r>
      <w:r>
        <w:rPr>
          <w:rFonts w:asciiTheme="minorHAnsi" w:hAnsiTheme="minorHAnsi" w:cstheme="minorHAnsi"/>
        </w:rPr>
        <w:t>information for students on the COM’s academic</w:t>
      </w:r>
      <w:r w:rsidRPr="00B83D0C">
        <w:rPr>
          <w:rFonts w:asciiTheme="minorHAnsi" w:hAnsiTheme="minorHAnsi" w:cstheme="minorHAnsi"/>
        </w:rPr>
        <w:t xml:space="preserve"> standards that include grading, class attendance, tuition and fees, refunds, student promotion, retention, graduation, students’ rights and responsibilities, and the filing of grievances and appeals.</w:t>
      </w:r>
    </w:p>
    <w:p w14:paraId="5D76C873" w14:textId="77777777" w:rsidR="009D46A3" w:rsidRPr="00B83D0C" w:rsidRDefault="009D46A3" w:rsidP="009D46A3">
      <w:pPr>
        <w:spacing w:before="135" w:line="240" w:lineRule="auto"/>
        <w:jc w:val="both"/>
        <w:rPr>
          <w:rFonts w:cstheme="minorHAnsi"/>
          <w:b/>
          <w:bCs/>
          <w:sz w:val="24"/>
          <w:szCs w:val="24"/>
        </w:rPr>
      </w:pPr>
      <w:r w:rsidRPr="00B83D0C">
        <w:rPr>
          <w:rFonts w:cstheme="minorHAnsi"/>
          <w:b/>
          <w:bCs/>
          <w:sz w:val="24"/>
          <w:szCs w:val="24"/>
        </w:rPr>
        <w:t>Scope:</w:t>
      </w:r>
    </w:p>
    <w:p w14:paraId="30F4DEF6" w14:textId="77777777" w:rsidR="009D46A3" w:rsidRPr="00B83D0C" w:rsidRDefault="009D46A3" w:rsidP="009D46A3">
      <w:pPr>
        <w:spacing w:before="135" w:line="240" w:lineRule="auto"/>
        <w:jc w:val="both"/>
        <w:rPr>
          <w:rFonts w:cstheme="minorHAnsi"/>
          <w:bCs/>
          <w:sz w:val="24"/>
          <w:szCs w:val="24"/>
        </w:rPr>
      </w:pPr>
      <w:r w:rsidRPr="00B83D0C">
        <w:rPr>
          <w:rFonts w:cstheme="minorHAnsi"/>
          <w:bCs/>
          <w:sz w:val="24"/>
          <w:szCs w:val="24"/>
        </w:rPr>
        <w:t xml:space="preserve">This </w:t>
      </w:r>
      <w:r>
        <w:rPr>
          <w:rFonts w:cstheme="minorHAnsi"/>
          <w:bCs/>
          <w:sz w:val="24"/>
          <w:szCs w:val="24"/>
        </w:rPr>
        <w:t>P</w:t>
      </w:r>
      <w:r w:rsidRPr="00B83D0C">
        <w:rPr>
          <w:rFonts w:cstheme="minorHAnsi"/>
          <w:bCs/>
          <w:sz w:val="24"/>
          <w:szCs w:val="24"/>
        </w:rPr>
        <w:t>olicy shall apply to Duquesne University College of Osteopathic Medicine (COM) students.</w:t>
      </w:r>
    </w:p>
    <w:p w14:paraId="3D1A4E85" w14:textId="77777777" w:rsidR="009D46A3" w:rsidRPr="00B83D0C" w:rsidRDefault="009D46A3" w:rsidP="009D46A3">
      <w:pPr>
        <w:spacing w:line="240" w:lineRule="auto"/>
        <w:jc w:val="both"/>
        <w:rPr>
          <w:rFonts w:cstheme="minorHAnsi"/>
          <w:b/>
          <w:bCs/>
          <w:sz w:val="24"/>
          <w:szCs w:val="24"/>
        </w:rPr>
      </w:pPr>
      <w:r w:rsidRPr="00B83D0C">
        <w:rPr>
          <w:rFonts w:cstheme="minorHAnsi"/>
          <w:b/>
          <w:bCs/>
          <w:sz w:val="24"/>
          <w:szCs w:val="24"/>
        </w:rPr>
        <w:t>Responsibility:</w:t>
      </w:r>
    </w:p>
    <w:p w14:paraId="35432546" w14:textId="77777777" w:rsidR="009D46A3" w:rsidRPr="00B83D0C" w:rsidRDefault="009D46A3" w:rsidP="009D46A3">
      <w:pPr>
        <w:pStyle w:val="BodyText"/>
        <w:spacing w:before="60" w:after="160"/>
        <w:rPr>
          <w:rFonts w:asciiTheme="minorHAnsi" w:hAnsiTheme="minorHAnsi" w:cstheme="minorHAnsi"/>
        </w:rPr>
      </w:pPr>
      <w:r w:rsidRPr="00B83D0C">
        <w:rPr>
          <w:rFonts w:asciiTheme="minorHAnsi" w:hAnsiTheme="minorHAnsi" w:cstheme="minorHAnsi"/>
        </w:rPr>
        <w:t xml:space="preserve">The responsibility to review and revise </w:t>
      </w:r>
      <w:r>
        <w:rPr>
          <w:rFonts w:asciiTheme="minorHAnsi" w:hAnsiTheme="minorHAnsi" w:cstheme="minorHAnsi"/>
        </w:rPr>
        <w:t>this Policy</w:t>
      </w:r>
      <w:r w:rsidRPr="00B83D0C">
        <w:rPr>
          <w:rFonts w:asciiTheme="minorHAnsi" w:hAnsiTheme="minorHAnsi" w:cstheme="minorHAnsi"/>
        </w:rPr>
        <w:t xml:space="preserve"> is established by the COM leadership and approved by the COM Dean and Duquesne University Provost. It is effective as of the date noted and shall remain effective until amended or terminated by the COM Dean or University Provost.</w:t>
      </w:r>
    </w:p>
    <w:p w14:paraId="6BF9C9EA" w14:textId="77777777" w:rsidR="009D46A3" w:rsidRPr="00B83D0C" w:rsidRDefault="009D46A3" w:rsidP="009D46A3">
      <w:pPr>
        <w:pStyle w:val="BodyText"/>
        <w:spacing w:before="60" w:after="160"/>
        <w:jc w:val="both"/>
        <w:rPr>
          <w:rFonts w:asciiTheme="minorHAnsi" w:hAnsiTheme="minorHAnsi" w:cstheme="minorHAnsi"/>
          <w:b/>
          <w:bCs/>
        </w:rPr>
      </w:pPr>
      <w:r w:rsidRPr="00B83D0C">
        <w:rPr>
          <w:rFonts w:asciiTheme="minorHAnsi" w:hAnsiTheme="minorHAnsi" w:cstheme="minorHAnsi"/>
          <w:b/>
          <w:bCs/>
        </w:rPr>
        <w:t>Policy:</w:t>
      </w:r>
    </w:p>
    <w:p w14:paraId="68C40DE4" w14:textId="77777777" w:rsidR="009D46A3" w:rsidRPr="000A6019" w:rsidRDefault="009D46A3" w:rsidP="009D46A3">
      <w:pPr>
        <w:pStyle w:val="CommentText"/>
        <w:rPr>
          <w:sz w:val="24"/>
          <w:szCs w:val="24"/>
        </w:rPr>
      </w:pPr>
      <w:r w:rsidRPr="000A6019">
        <w:rPr>
          <w:sz w:val="24"/>
          <w:szCs w:val="24"/>
        </w:rPr>
        <w:t xml:space="preserve">This policy is a reference for </w:t>
      </w:r>
      <w:r>
        <w:rPr>
          <w:sz w:val="24"/>
          <w:szCs w:val="24"/>
        </w:rPr>
        <w:t xml:space="preserve">COM </w:t>
      </w:r>
      <w:r w:rsidRPr="000A6019">
        <w:rPr>
          <w:sz w:val="24"/>
          <w:szCs w:val="24"/>
        </w:rPr>
        <w:t>students</w:t>
      </w:r>
      <w:r>
        <w:rPr>
          <w:sz w:val="24"/>
          <w:szCs w:val="24"/>
        </w:rPr>
        <w:t>,</w:t>
      </w:r>
      <w:r w:rsidRPr="000A6019">
        <w:rPr>
          <w:sz w:val="24"/>
          <w:szCs w:val="24"/>
        </w:rPr>
        <w:t xml:space="preserve"> providing information regarding academic standards, including grading, class attendance, tuition and fees, refunds, student promotion, retention, graduation</w:t>
      </w:r>
      <w:r>
        <w:rPr>
          <w:sz w:val="24"/>
          <w:szCs w:val="24"/>
        </w:rPr>
        <w:t>,</w:t>
      </w:r>
      <w:r w:rsidRPr="000A6019">
        <w:rPr>
          <w:sz w:val="24"/>
          <w:szCs w:val="24"/>
        </w:rPr>
        <w:t xml:space="preserve"> student rights and responsibilities</w:t>
      </w:r>
      <w:r>
        <w:rPr>
          <w:sz w:val="24"/>
          <w:szCs w:val="24"/>
        </w:rPr>
        <w:t>,</w:t>
      </w:r>
      <w:r w:rsidRPr="000A6019">
        <w:rPr>
          <w:sz w:val="24"/>
          <w:szCs w:val="24"/>
        </w:rPr>
        <w:t xml:space="preserve"> and the filing of grievances and appeals.  Each student enrolled in the COM is responsible for knowledge of the standards contained and/or referenced in this </w:t>
      </w:r>
      <w:r>
        <w:rPr>
          <w:sz w:val="24"/>
          <w:szCs w:val="24"/>
        </w:rPr>
        <w:t>P</w:t>
      </w:r>
      <w:r w:rsidRPr="000A6019">
        <w:rPr>
          <w:sz w:val="24"/>
          <w:szCs w:val="24"/>
        </w:rPr>
        <w:t xml:space="preserve">olicy. </w:t>
      </w:r>
    </w:p>
    <w:p w14:paraId="4455D5A5" w14:textId="77777777" w:rsidR="009D46A3" w:rsidRDefault="009D46A3" w:rsidP="009D46A3">
      <w:pPr>
        <w:pStyle w:val="Heading9"/>
        <w:numPr>
          <w:ilvl w:val="0"/>
          <w:numId w:val="6"/>
        </w:numPr>
        <w:spacing w:after="160"/>
        <w:ind w:left="360"/>
        <w:jc w:val="both"/>
        <w:rPr>
          <w:rFonts w:asciiTheme="minorHAnsi" w:hAnsiTheme="minorHAnsi" w:cstheme="minorHAnsi"/>
        </w:rPr>
      </w:pPr>
      <w:r>
        <w:rPr>
          <w:rFonts w:asciiTheme="minorHAnsi" w:hAnsiTheme="minorHAnsi" w:cstheme="minorHAnsi"/>
        </w:rPr>
        <w:t>Academic Standing</w:t>
      </w:r>
    </w:p>
    <w:p w14:paraId="2BF1F169" w14:textId="77777777" w:rsidR="009D46A3" w:rsidRPr="00E30624" w:rsidRDefault="009D46A3" w:rsidP="009D46A3">
      <w:pPr>
        <w:widowControl w:val="0"/>
        <w:autoSpaceDE w:val="0"/>
        <w:autoSpaceDN w:val="0"/>
        <w:spacing w:before="6" w:line="240" w:lineRule="auto"/>
        <w:ind w:left="360" w:right="90"/>
        <w:jc w:val="both"/>
        <w:rPr>
          <w:rFonts w:cstheme="minorHAnsi"/>
          <w:sz w:val="24"/>
          <w:szCs w:val="24"/>
        </w:rPr>
      </w:pPr>
      <w:r w:rsidRPr="00E30624">
        <w:rPr>
          <w:rFonts w:cstheme="minorHAnsi"/>
          <w:bCs/>
          <w:sz w:val="24"/>
          <w:szCs w:val="24"/>
        </w:rPr>
        <w:t>Academic Standing</w:t>
      </w:r>
      <w:r w:rsidRPr="00E30624">
        <w:rPr>
          <w:rFonts w:cstheme="minorHAnsi"/>
          <w:b/>
          <w:bCs/>
          <w:sz w:val="24"/>
          <w:szCs w:val="24"/>
        </w:rPr>
        <w:t xml:space="preserve"> </w:t>
      </w:r>
      <w:r w:rsidRPr="00E30624">
        <w:rPr>
          <w:rFonts w:cstheme="minorHAnsi"/>
          <w:sz w:val="24"/>
          <w:szCs w:val="24"/>
        </w:rPr>
        <w:t xml:space="preserve">is defined as a student’s academic performance within their respective block or clinical rotation. In order for students to remain in good academic standing, they must not have any un-remediated course failures or rotations. </w:t>
      </w:r>
    </w:p>
    <w:p w14:paraId="7BC71425" w14:textId="77777777" w:rsidR="009D46A3" w:rsidRPr="00420B4D" w:rsidRDefault="009D46A3" w:rsidP="009D46A3">
      <w:pPr>
        <w:pStyle w:val="Heading9"/>
        <w:numPr>
          <w:ilvl w:val="0"/>
          <w:numId w:val="6"/>
        </w:numPr>
        <w:spacing w:after="160"/>
        <w:ind w:left="360"/>
        <w:jc w:val="both"/>
        <w:rPr>
          <w:rFonts w:asciiTheme="minorHAnsi" w:hAnsiTheme="minorHAnsi" w:cstheme="minorHAnsi"/>
        </w:rPr>
      </w:pPr>
      <w:r w:rsidRPr="00420B4D">
        <w:rPr>
          <w:rFonts w:asciiTheme="minorHAnsi" w:hAnsiTheme="minorHAnsi" w:cstheme="minorHAnsi"/>
        </w:rPr>
        <w:t xml:space="preserve">Student Promotion </w:t>
      </w:r>
    </w:p>
    <w:p w14:paraId="1F5CC8D4" w14:textId="77777777" w:rsidR="009D46A3" w:rsidRPr="00B83D0C" w:rsidRDefault="009D46A3" w:rsidP="009D46A3">
      <w:pPr>
        <w:pStyle w:val="Heading9"/>
        <w:spacing w:after="160"/>
        <w:ind w:left="360"/>
        <w:jc w:val="both"/>
        <w:rPr>
          <w:rFonts w:asciiTheme="minorHAnsi" w:hAnsiTheme="minorHAnsi" w:cstheme="minorHAnsi"/>
          <w:b w:val="0"/>
        </w:rPr>
      </w:pPr>
      <w:r w:rsidRPr="00B83D0C">
        <w:rPr>
          <w:rFonts w:asciiTheme="minorHAnsi" w:hAnsiTheme="minorHAnsi" w:cstheme="minorHAnsi"/>
          <w:b w:val="0"/>
        </w:rPr>
        <w:t>Students are evaluated for promotion and graduation based on established osteopathic core competencies required at the medical student level. The competencies include communication, problem-solving and critical thinking, clinical skills in patient care, osteopathic philosophy and manipulation, medical knowledge, and professionalism and ethics. These competencies are tested on written examinations and skills-based testing throughout the four-year curriculum. Grades are recorded on the students</w:t>
      </w:r>
      <w:r>
        <w:rPr>
          <w:rFonts w:asciiTheme="minorHAnsi" w:hAnsiTheme="minorHAnsi" w:cstheme="minorHAnsi"/>
          <w:b w:val="0"/>
        </w:rPr>
        <w:t>’</w:t>
      </w:r>
      <w:r w:rsidRPr="00B83D0C">
        <w:rPr>
          <w:rFonts w:asciiTheme="minorHAnsi" w:hAnsiTheme="minorHAnsi" w:cstheme="minorHAnsi"/>
          <w:b w:val="0"/>
        </w:rPr>
        <w:t xml:space="preserve"> transcript</w:t>
      </w:r>
      <w:r>
        <w:rPr>
          <w:rFonts w:asciiTheme="minorHAnsi" w:hAnsiTheme="minorHAnsi" w:cstheme="minorHAnsi"/>
          <w:b w:val="0"/>
        </w:rPr>
        <w:t>s</w:t>
      </w:r>
      <w:r w:rsidRPr="00B83D0C">
        <w:rPr>
          <w:rFonts w:asciiTheme="minorHAnsi" w:hAnsiTheme="minorHAnsi" w:cstheme="minorHAnsi"/>
          <w:b w:val="0"/>
        </w:rPr>
        <w:t xml:space="preserve"> at the end of each block and at the end of each year. Students may access an unofficial transcript of their progress at any time, free of charge. </w:t>
      </w:r>
    </w:p>
    <w:p w14:paraId="45912A62" w14:textId="13EEBA54" w:rsidR="009D46A3" w:rsidRPr="00B83D0C" w:rsidRDefault="009D46A3" w:rsidP="009D46A3">
      <w:pPr>
        <w:pStyle w:val="BodyText"/>
        <w:spacing w:before="55" w:after="160"/>
        <w:ind w:left="360"/>
        <w:jc w:val="both"/>
        <w:rPr>
          <w:rFonts w:asciiTheme="minorHAnsi" w:hAnsiTheme="minorHAnsi" w:cstheme="minorHAnsi"/>
        </w:rPr>
      </w:pPr>
      <w:r w:rsidRPr="00B83D0C">
        <w:rPr>
          <w:rFonts w:asciiTheme="minorHAnsi" w:hAnsiTheme="minorHAnsi" w:cstheme="minorHAnsi"/>
        </w:rPr>
        <w:t xml:space="preserve">Federal law requires that all students receiving </w:t>
      </w:r>
      <w:r>
        <w:rPr>
          <w:rFonts w:asciiTheme="minorHAnsi" w:hAnsiTheme="minorHAnsi" w:cstheme="minorHAnsi"/>
        </w:rPr>
        <w:t xml:space="preserve">federal </w:t>
      </w:r>
      <w:r w:rsidRPr="00B83D0C">
        <w:rPr>
          <w:rFonts w:asciiTheme="minorHAnsi" w:hAnsiTheme="minorHAnsi" w:cstheme="minorHAnsi"/>
        </w:rPr>
        <w:t>financial assistance</w:t>
      </w:r>
      <w:r>
        <w:rPr>
          <w:rFonts w:asciiTheme="minorHAnsi" w:hAnsiTheme="minorHAnsi" w:cstheme="minorHAnsi"/>
        </w:rPr>
        <w:t xml:space="preserve"> are required to </w:t>
      </w:r>
      <w:r w:rsidRPr="00B83D0C">
        <w:rPr>
          <w:rFonts w:asciiTheme="minorHAnsi" w:hAnsiTheme="minorHAnsi" w:cstheme="minorHAnsi"/>
        </w:rPr>
        <w:t xml:space="preserve">maintain satisfactory academic progress. Satisfactory academic progress </w:t>
      </w:r>
      <w:r>
        <w:rPr>
          <w:rFonts w:asciiTheme="minorHAnsi" w:hAnsiTheme="minorHAnsi" w:cstheme="minorHAnsi"/>
        </w:rPr>
        <w:t xml:space="preserve">within the COM </w:t>
      </w:r>
      <w:r w:rsidRPr="00B83D0C">
        <w:rPr>
          <w:rFonts w:asciiTheme="minorHAnsi" w:hAnsiTheme="minorHAnsi" w:cstheme="minorHAnsi"/>
        </w:rPr>
        <w:t xml:space="preserve">is defined as passing all required courses at the end of each term, and completing all requirements of the program within 150% of the assigned time for the four-year curriculum (e.g., completing all required coursework and assignments within 6 years from the date of matriculation into the COM). Student progress is monitored regularly by the </w:t>
      </w:r>
      <w:r>
        <w:rPr>
          <w:rFonts w:asciiTheme="minorHAnsi" w:hAnsiTheme="minorHAnsi" w:cstheme="minorHAnsi"/>
        </w:rPr>
        <w:t>O</w:t>
      </w:r>
      <w:r w:rsidRPr="00B83D0C">
        <w:rPr>
          <w:rFonts w:asciiTheme="minorHAnsi" w:hAnsiTheme="minorHAnsi" w:cstheme="minorHAnsi"/>
        </w:rPr>
        <w:t xml:space="preserve">ffice of </w:t>
      </w:r>
      <w:r>
        <w:rPr>
          <w:rFonts w:asciiTheme="minorHAnsi" w:hAnsiTheme="minorHAnsi" w:cstheme="minorHAnsi"/>
        </w:rPr>
        <w:t>M</w:t>
      </w:r>
      <w:r w:rsidRPr="00B83D0C">
        <w:rPr>
          <w:rFonts w:asciiTheme="minorHAnsi" w:hAnsiTheme="minorHAnsi" w:cstheme="minorHAnsi"/>
        </w:rPr>
        <w:t xml:space="preserve">edical </w:t>
      </w:r>
      <w:r>
        <w:rPr>
          <w:rFonts w:asciiTheme="minorHAnsi" w:hAnsiTheme="minorHAnsi" w:cstheme="minorHAnsi"/>
        </w:rPr>
        <w:t>E</w:t>
      </w:r>
      <w:r w:rsidRPr="00B83D0C">
        <w:rPr>
          <w:rFonts w:asciiTheme="minorHAnsi" w:hAnsiTheme="minorHAnsi" w:cstheme="minorHAnsi"/>
        </w:rPr>
        <w:t xml:space="preserve">ducation </w:t>
      </w:r>
      <w:r w:rsidR="00311B09">
        <w:rPr>
          <w:rFonts w:asciiTheme="minorHAnsi" w:hAnsiTheme="minorHAnsi" w:cstheme="minorHAnsi"/>
        </w:rPr>
        <w:t xml:space="preserve">or Clinical Affairs as applicable </w:t>
      </w:r>
      <w:r w:rsidRPr="00B83D0C">
        <w:rPr>
          <w:rFonts w:asciiTheme="minorHAnsi" w:hAnsiTheme="minorHAnsi" w:cstheme="minorHAnsi"/>
        </w:rPr>
        <w:t xml:space="preserve">and formally </w:t>
      </w:r>
      <w:r w:rsidRPr="00B83D0C">
        <w:rPr>
          <w:rFonts w:asciiTheme="minorHAnsi" w:hAnsiTheme="minorHAnsi" w:cstheme="minorHAnsi"/>
        </w:rPr>
        <w:lastRenderedPageBreak/>
        <w:t xml:space="preserve">evaluated by the </w:t>
      </w:r>
      <w:r w:rsidR="008772FF">
        <w:rPr>
          <w:rFonts w:asciiTheme="minorHAnsi" w:hAnsiTheme="minorHAnsi" w:cstheme="minorHAnsi"/>
        </w:rPr>
        <w:t>Student</w:t>
      </w:r>
      <w:r>
        <w:rPr>
          <w:rFonts w:asciiTheme="minorHAnsi" w:hAnsiTheme="minorHAnsi" w:cstheme="minorHAnsi"/>
        </w:rPr>
        <w:t xml:space="preserve"> Academic Progress and Promotion</w:t>
      </w:r>
      <w:r w:rsidRPr="00B83D0C">
        <w:rPr>
          <w:rFonts w:asciiTheme="minorHAnsi" w:hAnsiTheme="minorHAnsi" w:cstheme="minorHAnsi"/>
        </w:rPr>
        <w:t xml:space="preserve"> </w:t>
      </w:r>
      <w:r>
        <w:rPr>
          <w:rFonts w:asciiTheme="minorHAnsi" w:hAnsiTheme="minorHAnsi" w:cstheme="minorHAnsi"/>
        </w:rPr>
        <w:t>C</w:t>
      </w:r>
      <w:r w:rsidRPr="00B83D0C">
        <w:rPr>
          <w:rFonts w:asciiTheme="minorHAnsi" w:hAnsiTheme="minorHAnsi" w:cstheme="minorHAnsi"/>
        </w:rPr>
        <w:t xml:space="preserve">ommittee </w:t>
      </w:r>
      <w:r>
        <w:rPr>
          <w:rFonts w:asciiTheme="minorHAnsi" w:hAnsiTheme="minorHAnsi" w:cstheme="minorHAnsi"/>
        </w:rPr>
        <w:t xml:space="preserve">(the “SAPP Committee”) </w:t>
      </w:r>
      <w:r w:rsidRPr="00B83D0C">
        <w:rPr>
          <w:rFonts w:asciiTheme="minorHAnsi" w:hAnsiTheme="minorHAnsi" w:cstheme="minorHAnsi"/>
        </w:rPr>
        <w:t xml:space="preserve">at the conclusion of each academic year. Students who have successfully completed all academic requirements of </w:t>
      </w:r>
      <w:r>
        <w:rPr>
          <w:rFonts w:asciiTheme="minorHAnsi" w:hAnsiTheme="minorHAnsi" w:cstheme="minorHAnsi"/>
        </w:rPr>
        <w:t xml:space="preserve">the previous year </w:t>
      </w:r>
      <w:r w:rsidRPr="00B83D0C">
        <w:rPr>
          <w:rFonts w:asciiTheme="minorHAnsi" w:hAnsiTheme="minorHAnsi" w:cstheme="minorHAnsi"/>
        </w:rPr>
        <w:t>will be recommended for promotion, and recommendations for graduation will be made by the</w:t>
      </w:r>
      <w:r>
        <w:rPr>
          <w:rFonts w:asciiTheme="minorHAnsi" w:hAnsiTheme="minorHAnsi" w:cstheme="minorHAnsi"/>
        </w:rPr>
        <w:t xml:space="preserve"> COM</w:t>
      </w:r>
      <w:r w:rsidRPr="00B83D0C">
        <w:rPr>
          <w:rFonts w:asciiTheme="minorHAnsi" w:hAnsiTheme="minorHAnsi" w:cstheme="minorHAnsi"/>
        </w:rPr>
        <w:t xml:space="preserve"> Faculty Council. A more complete explanation of the duties of the SAPP</w:t>
      </w:r>
      <w:r>
        <w:rPr>
          <w:rFonts w:asciiTheme="minorHAnsi" w:hAnsiTheme="minorHAnsi" w:cstheme="minorHAnsi"/>
        </w:rPr>
        <w:t xml:space="preserve"> Committee</w:t>
      </w:r>
      <w:r w:rsidRPr="00B83D0C">
        <w:rPr>
          <w:rFonts w:asciiTheme="minorHAnsi" w:hAnsiTheme="minorHAnsi" w:cstheme="minorHAnsi"/>
        </w:rPr>
        <w:t xml:space="preserve"> is contained in</w:t>
      </w:r>
      <w:r w:rsidR="008772FF">
        <w:rPr>
          <w:rFonts w:asciiTheme="minorHAnsi" w:hAnsiTheme="minorHAnsi" w:cstheme="minorHAnsi"/>
        </w:rPr>
        <w:t xml:space="preserve"> the COM</w:t>
      </w:r>
      <w:r w:rsidRPr="00B83D0C">
        <w:rPr>
          <w:rFonts w:asciiTheme="minorHAnsi" w:hAnsiTheme="minorHAnsi" w:cstheme="minorHAnsi"/>
        </w:rPr>
        <w:t xml:space="preserve"> </w:t>
      </w:r>
      <w:r>
        <w:rPr>
          <w:rFonts w:asciiTheme="minorHAnsi" w:hAnsiTheme="minorHAnsi" w:cstheme="minorHAnsi"/>
        </w:rPr>
        <w:t>P</w:t>
      </w:r>
      <w:r w:rsidRPr="00B83D0C">
        <w:rPr>
          <w:rFonts w:asciiTheme="minorHAnsi" w:hAnsiTheme="minorHAnsi" w:cstheme="minorHAnsi"/>
        </w:rPr>
        <w:t>olic</w:t>
      </w:r>
      <w:r w:rsidR="008772FF">
        <w:rPr>
          <w:rFonts w:asciiTheme="minorHAnsi" w:hAnsiTheme="minorHAnsi" w:cstheme="minorHAnsi"/>
        </w:rPr>
        <w:t>y</w:t>
      </w:r>
      <w:r w:rsidRPr="00B83D0C">
        <w:rPr>
          <w:rFonts w:asciiTheme="minorHAnsi" w:hAnsiTheme="minorHAnsi" w:cstheme="minorHAnsi"/>
        </w:rPr>
        <w:t xml:space="preserve">, entitled </w:t>
      </w:r>
      <w:r>
        <w:rPr>
          <w:rFonts w:asciiTheme="minorHAnsi" w:hAnsiTheme="minorHAnsi" w:cstheme="minorHAnsi"/>
        </w:rPr>
        <w:t>Student Academic Progress and Promotion Policy and Procedures, and a</w:t>
      </w:r>
      <w:r w:rsidRPr="00B83D0C">
        <w:rPr>
          <w:rFonts w:asciiTheme="minorHAnsi" w:hAnsiTheme="minorHAnsi" w:cstheme="minorHAnsi"/>
        </w:rPr>
        <w:t xml:space="preserve"> more detailed explanation of the duties of the</w:t>
      </w:r>
      <w:r>
        <w:rPr>
          <w:rFonts w:asciiTheme="minorHAnsi" w:hAnsiTheme="minorHAnsi" w:cstheme="minorHAnsi"/>
        </w:rPr>
        <w:t xml:space="preserve"> COM </w:t>
      </w:r>
      <w:r w:rsidRPr="00B83D0C">
        <w:rPr>
          <w:rFonts w:asciiTheme="minorHAnsi" w:hAnsiTheme="minorHAnsi" w:cstheme="minorHAnsi"/>
        </w:rPr>
        <w:t xml:space="preserve">Faculty Council is contained in </w:t>
      </w:r>
      <w:r w:rsidR="008772FF">
        <w:rPr>
          <w:rFonts w:asciiTheme="minorHAnsi" w:hAnsiTheme="minorHAnsi" w:cstheme="minorHAnsi"/>
        </w:rPr>
        <w:t>the COM Faculty Council Bylaws</w:t>
      </w:r>
      <w:r w:rsidRPr="00B83D0C">
        <w:rPr>
          <w:rFonts w:asciiTheme="minorHAnsi" w:hAnsiTheme="minorHAnsi" w:cstheme="minorHAnsi"/>
        </w:rPr>
        <w:t>.</w:t>
      </w:r>
    </w:p>
    <w:p w14:paraId="6D13C25F" w14:textId="77777777" w:rsidR="009D46A3" w:rsidRPr="00B83D0C" w:rsidRDefault="009D46A3" w:rsidP="009D46A3">
      <w:pPr>
        <w:pStyle w:val="Heading9"/>
        <w:spacing w:after="160"/>
        <w:ind w:left="360"/>
        <w:jc w:val="both"/>
        <w:rPr>
          <w:rFonts w:asciiTheme="minorHAnsi" w:hAnsiTheme="minorHAnsi" w:cstheme="minorHAnsi"/>
          <w:b w:val="0"/>
        </w:rPr>
      </w:pPr>
      <w:r>
        <w:rPr>
          <w:rFonts w:asciiTheme="minorHAnsi" w:hAnsiTheme="minorHAnsi" w:cstheme="minorHAnsi"/>
          <w:b w:val="0"/>
        </w:rPr>
        <w:t xml:space="preserve">More detail on requirements by year is included below: </w:t>
      </w:r>
    </w:p>
    <w:p w14:paraId="2A14AF5F" w14:textId="77777777" w:rsidR="009D46A3" w:rsidRPr="007141E3" w:rsidRDefault="009D46A3" w:rsidP="009D46A3">
      <w:pPr>
        <w:pStyle w:val="ListParagraph"/>
        <w:widowControl w:val="0"/>
        <w:numPr>
          <w:ilvl w:val="0"/>
          <w:numId w:val="1"/>
        </w:numPr>
        <w:autoSpaceDE w:val="0"/>
        <w:autoSpaceDN w:val="0"/>
        <w:spacing w:before="6" w:line="240" w:lineRule="auto"/>
        <w:ind w:right="90"/>
        <w:jc w:val="both"/>
        <w:rPr>
          <w:rFonts w:cstheme="minorHAnsi"/>
          <w:b/>
          <w:bCs/>
          <w:sz w:val="24"/>
          <w:szCs w:val="24"/>
        </w:rPr>
      </w:pPr>
      <w:r w:rsidRPr="00B83D0C">
        <w:rPr>
          <w:rFonts w:cstheme="minorHAnsi"/>
          <w:sz w:val="24"/>
          <w:szCs w:val="24"/>
        </w:rPr>
        <w:t xml:space="preserve">For the </w:t>
      </w:r>
      <w:r w:rsidRPr="007141E3">
        <w:rPr>
          <w:rFonts w:cstheme="minorHAnsi"/>
          <w:sz w:val="24"/>
          <w:szCs w:val="24"/>
        </w:rPr>
        <w:t>MS1 and MS2 years of the curriculum, students must pass or successfully remediate all curricular components for each course, as well as all other requirements in all blocks to advance to the next semester.  If a course has multiple graded components (such as a lecture portion and a laboratory portion), the student may be required to pass each portion of the course as outlined in the course syllabus in order to achieve a passing grade for the course. A final course grade of less than 70% will normally require remediation of all portions of the course during the one-week period provided between blocks. Remediation of a course requires the student to study on campus during the remediation week, as well as regular meetings with the course director prior to completing the remediation examination. Remediation examinations are comprehensive over the entire course material, and must be successfully completed prior to the first day of the next block.</w:t>
      </w:r>
    </w:p>
    <w:p w14:paraId="7698A8E6" w14:textId="77777777" w:rsidR="009D46A3" w:rsidRPr="007141E3" w:rsidRDefault="009D46A3" w:rsidP="009D46A3">
      <w:pPr>
        <w:pStyle w:val="ListParagraph"/>
        <w:widowControl w:val="0"/>
        <w:autoSpaceDE w:val="0"/>
        <w:autoSpaceDN w:val="0"/>
        <w:spacing w:before="6" w:line="240" w:lineRule="auto"/>
        <w:ind w:left="1440" w:right="90"/>
        <w:jc w:val="both"/>
        <w:rPr>
          <w:rFonts w:cstheme="minorHAnsi"/>
          <w:b/>
          <w:bCs/>
          <w:sz w:val="24"/>
          <w:szCs w:val="24"/>
        </w:rPr>
      </w:pPr>
    </w:p>
    <w:p w14:paraId="59947424" w14:textId="187D9E19" w:rsidR="009D46A3" w:rsidRPr="00B83D0C" w:rsidRDefault="009D46A3" w:rsidP="009D46A3">
      <w:pPr>
        <w:pStyle w:val="ListParagraph"/>
        <w:widowControl w:val="0"/>
        <w:autoSpaceDE w:val="0"/>
        <w:autoSpaceDN w:val="0"/>
        <w:spacing w:before="6" w:line="240" w:lineRule="auto"/>
        <w:ind w:left="1440" w:right="90"/>
        <w:jc w:val="both"/>
        <w:rPr>
          <w:rFonts w:cstheme="minorHAnsi"/>
          <w:b/>
          <w:bCs/>
          <w:sz w:val="24"/>
          <w:szCs w:val="24"/>
        </w:rPr>
      </w:pPr>
      <w:r w:rsidRPr="007141E3">
        <w:rPr>
          <w:rFonts w:cstheme="minorHAnsi"/>
          <w:sz w:val="24"/>
          <w:szCs w:val="24"/>
        </w:rPr>
        <w:t xml:space="preserve">Additionally, MS2 students must pass or successfully remediate COMLEX qualification exams and </w:t>
      </w:r>
      <w:r w:rsidR="008772FF">
        <w:rPr>
          <w:rFonts w:cstheme="minorHAnsi"/>
          <w:sz w:val="24"/>
          <w:szCs w:val="24"/>
        </w:rPr>
        <w:t>end-of-year</w:t>
      </w:r>
      <w:r w:rsidRPr="007141E3">
        <w:rPr>
          <w:rFonts w:cstheme="minorHAnsi"/>
          <w:sz w:val="24"/>
          <w:szCs w:val="24"/>
        </w:rPr>
        <w:t xml:space="preserve"> assessments</w:t>
      </w:r>
      <w:r>
        <w:rPr>
          <w:rFonts w:cstheme="minorHAnsi"/>
          <w:sz w:val="24"/>
          <w:szCs w:val="24"/>
        </w:rPr>
        <w:t xml:space="preserve"> and all other requirements </w:t>
      </w:r>
      <w:r w:rsidRPr="00214EFA">
        <w:rPr>
          <w:rFonts w:cstheme="minorHAnsi"/>
          <w:sz w:val="24"/>
          <w:szCs w:val="24"/>
        </w:rPr>
        <w:t xml:space="preserve">including sitting for COMLEX-USA Level 1 to advance to the MS3 year.  As further described in the COMLEX </w:t>
      </w:r>
      <w:r>
        <w:rPr>
          <w:rFonts w:cstheme="minorHAnsi"/>
          <w:sz w:val="24"/>
          <w:szCs w:val="24"/>
        </w:rPr>
        <w:t xml:space="preserve">and Student Academic Progress and Promotion </w:t>
      </w:r>
      <w:r w:rsidRPr="00214EFA">
        <w:rPr>
          <w:rFonts w:cstheme="minorHAnsi"/>
          <w:sz w:val="24"/>
          <w:szCs w:val="24"/>
        </w:rPr>
        <w:t>Polic</w:t>
      </w:r>
      <w:r>
        <w:rPr>
          <w:rFonts w:cstheme="minorHAnsi"/>
          <w:sz w:val="24"/>
          <w:szCs w:val="24"/>
        </w:rPr>
        <w:t>ies</w:t>
      </w:r>
      <w:r w:rsidRPr="00214EFA">
        <w:rPr>
          <w:rFonts w:cstheme="minorHAnsi"/>
          <w:sz w:val="24"/>
          <w:szCs w:val="24"/>
        </w:rPr>
        <w:t>, a</w:t>
      </w:r>
      <w:r w:rsidR="00311B09">
        <w:rPr>
          <w:rFonts w:cstheme="minorHAnsi"/>
          <w:sz w:val="24"/>
          <w:szCs w:val="24"/>
        </w:rPr>
        <w:t xml:space="preserve">n exception </w:t>
      </w:r>
      <w:r w:rsidRPr="00214EFA">
        <w:rPr>
          <w:rFonts w:cstheme="minorHAnsi"/>
          <w:sz w:val="24"/>
          <w:szCs w:val="24"/>
        </w:rPr>
        <w:t xml:space="preserve">may be granted by the COM Associate Dean for Academic Affairs in order to permit the student to take the MS3 Simulation Block, </w:t>
      </w:r>
      <w:r>
        <w:rPr>
          <w:rFonts w:cstheme="minorHAnsi"/>
          <w:sz w:val="24"/>
          <w:szCs w:val="24"/>
        </w:rPr>
        <w:t xml:space="preserve">as long as the student is engaging in an assigned </w:t>
      </w:r>
      <w:r w:rsidR="00DD38BD">
        <w:rPr>
          <w:rFonts w:cstheme="minorHAnsi"/>
          <w:sz w:val="24"/>
          <w:szCs w:val="24"/>
        </w:rPr>
        <w:t>Modified Course of Study plan</w:t>
      </w:r>
      <w:r>
        <w:rPr>
          <w:rFonts w:cstheme="minorHAnsi"/>
          <w:sz w:val="24"/>
          <w:szCs w:val="24"/>
        </w:rPr>
        <w:t xml:space="preserve">, </w:t>
      </w:r>
      <w:r w:rsidRPr="00214EFA">
        <w:rPr>
          <w:rFonts w:cstheme="minorHAnsi"/>
          <w:sz w:val="24"/>
          <w:szCs w:val="24"/>
        </w:rPr>
        <w:t>but the student is not eligible for full promotion to MS3 and/or to begin clinical rotations until they sit for the COMLEX Level 1 examination.</w:t>
      </w:r>
    </w:p>
    <w:p w14:paraId="2F387B32" w14:textId="77777777" w:rsidR="009D46A3" w:rsidRPr="00B83D0C" w:rsidRDefault="009D46A3" w:rsidP="009D46A3">
      <w:pPr>
        <w:pStyle w:val="ListParagraph"/>
        <w:widowControl w:val="0"/>
        <w:autoSpaceDE w:val="0"/>
        <w:autoSpaceDN w:val="0"/>
        <w:spacing w:before="6" w:line="240" w:lineRule="auto"/>
        <w:ind w:left="1440" w:right="90"/>
        <w:jc w:val="both"/>
        <w:rPr>
          <w:rFonts w:cstheme="minorHAnsi"/>
          <w:b/>
          <w:bCs/>
          <w:sz w:val="24"/>
          <w:szCs w:val="24"/>
        </w:rPr>
      </w:pPr>
    </w:p>
    <w:p w14:paraId="24DAF925" w14:textId="07921C25" w:rsidR="009D46A3" w:rsidRPr="00B83D0C" w:rsidRDefault="009D46A3" w:rsidP="009D46A3">
      <w:pPr>
        <w:pStyle w:val="ListParagraph"/>
        <w:widowControl w:val="0"/>
        <w:numPr>
          <w:ilvl w:val="0"/>
          <w:numId w:val="1"/>
        </w:numPr>
        <w:autoSpaceDE w:val="0"/>
        <w:autoSpaceDN w:val="0"/>
        <w:spacing w:before="6" w:line="240" w:lineRule="auto"/>
        <w:ind w:right="90"/>
        <w:jc w:val="both"/>
        <w:rPr>
          <w:rFonts w:cstheme="minorHAnsi"/>
          <w:b/>
          <w:bCs/>
          <w:sz w:val="24"/>
          <w:szCs w:val="24"/>
        </w:rPr>
      </w:pPr>
      <w:r w:rsidRPr="00B83D0C">
        <w:rPr>
          <w:rFonts w:cstheme="minorHAnsi"/>
          <w:sz w:val="24"/>
          <w:szCs w:val="24"/>
        </w:rPr>
        <w:t xml:space="preserve">For the MS3 year of the curriculum, students must pass or successfully remediate all </w:t>
      </w:r>
      <w:r w:rsidRPr="00EA0A98">
        <w:rPr>
          <w:rFonts w:cstheme="minorHAnsi"/>
          <w:sz w:val="24"/>
          <w:szCs w:val="24"/>
        </w:rPr>
        <w:t xml:space="preserve">clinical rotations, </w:t>
      </w:r>
      <w:r w:rsidR="008772FF">
        <w:rPr>
          <w:rFonts w:cstheme="minorHAnsi"/>
          <w:sz w:val="24"/>
          <w:szCs w:val="24"/>
        </w:rPr>
        <w:t>end-of-rotation</w:t>
      </w:r>
      <w:r w:rsidRPr="00EA0A98">
        <w:rPr>
          <w:rFonts w:cstheme="minorHAnsi"/>
          <w:sz w:val="24"/>
          <w:szCs w:val="24"/>
        </w:rPr>
        <w:t xml:space="preserve"> exams, </w:t>
      </w:r>
      <w:r w:rsidR="008772FF">
        <w:rPr>
          <w:rFonts w:cstheme="minorHAnsi"/>
          <w:sz w:val="24"/>
          <w:szCs w:val="24"/>
        </w:rPr>
        <w:t>end-of-year</w:t>
      </w:r>
      <w:r w:rsidRPr="00EA0A98">
        <w:rPr>
          <w:rFonts w:cstheme="minorHAnsi"/>
          <w:sz w:val="24"/>
          <w:szCs w:val="24"/>
        </w:rPr>
        <w:t xml:space="preserve"> assessments,</w:t>
      </w:r>
      <w:r>
        <w:rPr>
          <w:rFonts w:cstheme="minorHAnsi"/>
          <w:sz w:val="24"/>
          <w:szCs w:val="24"/>
        </w:rPr>
        <w:t xml:space="preserve"> the</w:t>
      </w:r>
      <w:r w:rsidRPr="00EA0A98">
        <w:rPr>
          <w:rFonts w:cstheme="minorHAnsi"/>
          <w:sz w:val="24"/>
          <w:szCs w:val="24"/>
        </w:rPr>
        <w:t xml:space="preserve"> COMLEX Level 2 CE qualifying exam, and all other requirements including sitting for COMLEX Level 2 CE in order to advance to the MS4 academic year. As further described in the COMLEX Policy, a</w:t>
      </w:r>
      <w:r w:rsidR="00311B09">
        <w:rPr>
          <w:rFonts w:cstheme="minorHAnsi"/>
          <w:sz w:val="24"/>
          <w:szCs w:val="24"/>
        </w:rPr>
        <w:t xml:space="preserve">n exception </w:t>
      </w:r>
      <w:r w:rsidRPr="00EA0A98">
        <w:rPr>
          <w:rFonts w:cstheme="minorHAnsi"/>
          <w:sz w:val="24"/>
          <w:szCs w:val="24"/>
        </w:rPr>
        <w:t xml:space="preserve">may be granted by the COM Associate Dean for Academic Affairs, </w:t>
      </w:r>
      <w:r>
        <w:rPr>
          <w:rFonts w:cstheme="minorHAnsi"/>
          <w:sz w:val="24"/>
          <w:szCs w:val="24"/>
        </w:rPr>
        <w:t xml:space="preserve">as long as the student is engaging in an assigned </w:t>
      </w:r>
      <w:r w:rsidR="00DD38BD">
        <w:rPr>
          <w:rFonts w:cstheme="minorHAnsi"/>
          <w:sz w:val="24"/>
          <w:szCs w:val="24"/>
        </w:rPr>
        <w:t>Modified Course of Study plan</w:t>
      </w:r>
      <w:r>
        <w:rPr>
          <w:rFonts w:cstheme="minorHAnsi"/>
          <w:sz w:val="24"/>
          <w:szCs w:val="24"/>
        </w:rPr>
        <w:t xml:space="preserve">, </w:t>
      </w:r>
      <w:r w:rsidRPr="00EA0A98">
        <w:rPr>
          <w:rFonts w:cstheme="minorHAnsi"/>
          <w:sz w:val="24"/>
          <w:szCs w:val="24"/>
        </w:rPr>
        <w:t>but the student is not eligible for full promotion until they sit for the COMLEX Level 2 CE examination.</w:t>
      </w:r>
    </w:p>
    <w:p w14:paraId="7F94BAF5" w14:textId="77777777" w:rsidR="009D46A3" w:rsidRPr="00B83D0C" w:rsidRDefault="009D46A3" w:rsidP="009D46A3">
      <w:pPr>
        <w:pStyle w:val="ListParagraph"/>
        <w:spacing w:line="240" w:lineRule="auto"/>
        <w:rPr>
          <w:rFonts w:cstheme="minorHAnsi"/>
          <w:sz w:val="24"/>
          <w:szCs w:val="24"/>
        </w:rPr>
      </w:pPr>
    </w:p>
    <w:p w14:paraId="07D543E4" w14:textId="3EC641BC" w:rsidR="009D46A3" w:rsidRPr="004155C2" w:rsidRDefault="009D46A3" w:rsidP="009D46A3">
      <w:pPr>
        <w:pStyle w:val="ListParagraph"/>
        <w:widowControl w:val="0"/>
        <w:numPr>
          <w:ilvl w:val="0"/>
          <w:numId w:val="1"/>
        </w:numPr>
        <w:autoSpaceDE w:val="0"/>
        <w:autoSpaceDN w:val="0"/>
        <w:spacing w:before="6" w:line="240" w:lineRule="auto"/>
        <w:ind w:right="90"/>
        <w:jc w:val="both"/>
        <w:rPr>
          <w:rFonts w:cstheme="minorHAnsi"/>
          <w:b/>
          <w:bCs/>
          <w:sz w:val="24"/>
          <w:szCs w:val="24"/>
        </w:rPr>
      </w:pPr>
      <w:r w:rsidRPr="00B83D0C">
        <w:rPr>
          <w:rFonts w:cstheme="minorHAnsi"/>
        </w:rPr>
        <w:lastRenderedPageBreak/>
        <w:t xml:space="preserve">MS 3 </w:t>
      </w:r>
      <w:r>
        <w:rPr>
          <w:rFonts w:cstheme="minorHAnsi"/>
        </w:rPr>
        <w:t xml:space="preserve">and MS4 </w:t>
      </w:r>
      <w:r w:rsidRPr="00B83D0C">
        <w:rPr>
          <w:rFonts w:cstheme="minorHAnsi"/>
        </w:rPr>
        <w:t xml:space="preserve">students must pass both the </w:t>
      </w:r>
      <w:r>
        <w:rPr>
          <w:rFonts w:cstheme="minorHAnsi"/>
        </w:rPr>
        <w:t xml:space="preserve">overall rotation as outlined in the syllabus and </w:t>
      </w:r>
      <w:r w:rsidRPr="00B83D0C">
        <w:rPr>
          <w:rFonts w:cstheme="minorHAnsi"/>
        </w:rPr>
        <w:t xml:space="preserve">the </w:t>
      </w:r>
      <w:r w:rsidR="008772FF">
        <w:rPr>
          <w:rFonts w:cstheme="minorHAnsi"/>
        </w:rPr>
        <w:t>end-of-rotation</w:t>
      </w:r>
      <w:r w:rsidRPr="00B83D0C">
        <w:rPr>
          <w:rFonts w:cstheme="minorHAnsi"/>
        </w:rPr>
        <w:t xml:space="preserve"> examination </w:t>
      </w:r>
      <w:r>
        <w:rPr>
          <w:rFonts w:cstheme="minorHAnsi"/>
        </w:rPr>
        <w:t xml:space="preserve">for core rotations, </w:t>
      </w:r>
      <w:r w:rsidRPr="00B83D0C">
        <w:rPr>
          <w:rFonts w:cstheme="minorHAnsi"/>
        </w:rPr>
        <w:t xml:space="preserve">in order to pass that rotation. The </w:t>
      </w:r>
      <w:r>
        <w:rPr>
          <w:rFonts w:cstheme="minorHAnsi"/>
        </w:rPr>
        <w:t xml:space="preserve">rotation assessments will include a </w:t>
      </w:r>
      <w:r w:rsidRPr="00B83D0C">
        <w:rPr>
          <w:rFonts w:cstheme="minorHAnsi"/>
        </w:rPr>
        <w:t>competency evaluation consist</w:t>
      </w:r>
      <w:r>
        <w:rPr>
          <w:rFonts w:cstheme="minorHAnsi"/>
        </w:rPr>
        <w:t>ing</w:t>
      </w:r>
      <w:r w:rsidRPr="00B83D0C">
        <w:rPr>
          <w:rFonts w:cstheme="minorHAnsi"/>
        </w:rPr>
        <w:t xml:space="preserve"> of metrics including medical knowledge, communication, physical examination skills, problem solving and clinical decision-making, professionalism and ethics, and osteopathic-specific competencies. Students will be rated by their clinical preceptors on each of these metrics, and these ratings will be compiled to determine the student’s final grade (e.g., H, HP, P, F). Students who do not pass the written examination with a 70% or greater grade will be required to pass a remediation examination administered by the COM within one month of receiving notice of the failed examination grade. Students who do not pass the clinical rotation competency evaluation </w:t>
      </w:r>
      <w:r>
        <w:rPr>
          <w:rFonts w:cstheme="minorHAnsi"/>
        </w:rPr>
        <w:t xml:space="preserve">or the remediation exam </w:t>
      </w:r>
      <w:r w:rsidRPr="00B83D0C">
        <w:rPr>
          <w:rFonts w:cstheme="minorHAnsi"/>
        </w:rPr>
        <w:t xml:space="preserve">will be referred to the </w:t>
      </w:r>
      <w:r>
        <w:rPr>
          <w:rFonts w:cstheme="minorHAnsi"/>
        </w:rPr>
        <w:t>SAPP</w:t>
      </w:r>
      <w:r w:rsidRPr="00B83D0C">
        <w:rPr>
          <w:rFonts w:cstheme="minorHAnsi"/>
        </w:rPr>
        <w:t xml:space="preserve"> Committee to determine eligibility to repeat the failed rotation. Multiple failed clinical rotations may result in dismissal.</w:t>
      </w:r>
    </w:p>
    <w:p w14:paraId="1B9A311C" w14:textId="77777777" w:rsidR="009D46A3" w:rsidRPr="004155C2" w:rsidRDefault="009D46A3" w:rsidP="009D46A3">
      <w:pPr>
        <w:pStyle w:val="ListParagraph"/>
        <w:spacing w:line="240" w:lineRule="auto"/>
        <w:rPr>
          <w:rFonts w:cstheme="minorHAnsi"/>
          <w:sz w:val="24"/>
          <w:szCs w:val="24"/>
        </w:rPr>
      </w:pPr>
    </w:p>
    <w:p w14:paraId="055ACA41" w14:textId="776F39AA" w:rsidR="009D46A3" w:rsidRPr="00420B4D" w:rsidRDefault="009D46A3" w:rsidP="009D46A3">
      <w:pPr>
        <w:pStyle w:val="ListParagraph"/>
        <w:widowControl w:val="0"/>
        <w:numPr>
          <w:ilvl w:val="0"/>
          <w:numId w:val="1"/>
        </w:numPr>
        <w:autoSpaceDE w:val="0"/>
        <w:autoSpaceDN w:val="0"/>
        <w:spacing w:before="6" w:line="240" w:lineRule="auto"/>
        <w:ind w:right="90"/>
        <w:jc w:val="both"/>
        <w:rPr>
          <w:rFonts w:cstheme="minorHAnsi"/>
          <w:b/>
          <w:bCs/>
          <w:sz w:val="24"/>
          <w:szCs w:val="24"/>
        </w:rPr>
      </w:pPr>
      <w:r w:rsidRPr="00B83D0C">
        <w:rPr>
          <w:rFonts w:cstheme="minorHAnsi"/>
          <w:sz w:val="24"/>
          <w:szCs w:val="24"/>
        </w:rPr>
        <w:t xml:space="preserve">MS4 students must pass or successfully remediate all clinical rotations, </w:t>
      </w:r>
      <w:r w:rsidR="00CF06B6">
        <w:rPr>
          <w:rFonts w:cstheme="minorHAnsi"/>
          <w:sz w:val="24"/>
          <w:szCs w:val="24"/>
        </w:rPr>
        <w:t>end-of-rotation</w:t>
      </w:r>
      <w:r w:rsidRPr="00B83D0C">
        <w:rPr>
          <w:rFonts w:cstheme="minorHAnsi"/>
          <w:sz w:val="24"/>
          <w:szCs w:val="24"/>
        </w:rPr>
        <w:t xml:space="preserve"> exams, and all other requirements in order to be eligible for graduation. </w:t>
      </w:r>
    </w:p>
    <w:p w14:paraId="070DD33E" w14:textId="77777777" w:rsidR="009D46A3" w:rsidRPr="00B83D0C" w:rsidRDefault="009D46A3" w:rsidP="009D46A3">
      <w:pPr>
        <w:pStyle w:val="BodyText"/>
        <w:numPr>
          <w:ilvl w:val="0"/>
          <w:numId w:val="6"/>
        </w:numPr>
        <w:spacing w:before="55" w:after="160"/>
        <w:jc w:val="both"/>
        <w:rPr>
          <w:rFonts w:asciiTheme="minorHAnsi" w:hAnsiTheme="minorHAnsi" w:cstheme="minorHAnsi"/>
          <w:b/>
        </w:rPr>
      </w:pPr>
      <w:r w:rsidRPr="00B83D0C">
        <w:rPr>
          <w:rFonts w:asciiTheme="minorHAnsi" w:hAnsiTheme="minorHAnsi" w:cstheme="minorHAnsi"/>
          <w:b/>
        </w:rPr>
        <w:t>GRADING SCALE:</w:t>
      </w:r>
    </w:p>
    <w:p w14:paraId="386DAAC5" w14:textId="61B9A537" w:rsidR="009D46A3" w:rsidRDefault="009D46A3" w:rsidP="009D46A3">
      <w:pPr>
        <w:pStyle w:val="BodyText"/>
        <w:spacing w:before="55" w:after="160"/>
        <w:ind w:left="360"/>
        <w:jc w:val="both"/>
        <w:rPr>
          <w:rFonts w:asciiTheme="minorHAnsi" w:hAnsiTheme="minorHAnsi" w:cstheme="minorHAnsi"/>
        </w:rPr>
      </w:pPr>
      <w:r w:rsidRPr="00B83D0C">
        <w:rPr>
          <w:rFonts w:asciiTheme="minorHAnsi" w:hAnsiTheme="minorHAnsi" w:cstheme="minorHAnsi"/>
        </w:rPr>
        <w:t xml:space="preserve">The Duquesne University COM </w:t>
      </w:r>
      <w:r>
        <w:rPr>
          <w:rFonts w:asciiTheme="minorHAnsi" w:hAnsiTheme="minorHAnsi" w:cstheme="minorHAnsi"/>
        </w:rPr>
        <w:t>utilizes</w:t>
      </w:r>
      <w:r w:rsidRPr="00B83D0C">
        <w:rPr>
          <w:rFonts w:asciiTheme="minorHAnsi" w:hAnsiTheme="minorHAnsi" w:cstheme="minorHAnsi"/>
        </w:rPr>
        <w:t xml:space="preserve"> the following grading scale</w:t>
      </w:r>
      <w:r w:rsidR="008772FF">
        <w:rPr>
          <w:rFonts w:asciiTheme="minorHAnsi" w:hAnsiTheme="minorHAnsi" w:cstheme="minorHAnsi"/>
        </w:rPr>
        <w:t>s</w:t>
      </w:r>
      <w:r w:rsidRPr="00B83D0C">
        <w:rPr>
          <w:rFonts w:asciiTheme="minorHAnsi" w:hAnsiTheme="minorHAnsi" w:cstheme="minorHAnsi"/>
        </w:rPr>
        <w:t>:</w:t>
      </w:r>
    </w:p>
    <w:tbl>
      <w:tblPr>
        <w:tblW w:w="9990" w:type="dxa"/>
        <w:tblInd w:w="355" w:type="dxa"/>
        <w:tblLook w:val="04A0" w:firstRow="1" w:lastRow="0" w:firstColumn="1" w:lastColumn="0" w:noHBand="0" w:noVBand="1"/>
      </w:tblPr>
      <w:tblGrid>
        <w:gridCol w:w="630"/>
        <w:gridCol w:w="1080"/>
        <w:gridCol w:w="1440"/>
        <w:gridCol w:w="1530"/>
        <w:gridCol w:w="1296"/>
        <w:gridCol w:w="1241"/>
        <w:gridCol w:w="883"/>
        <w:gridCol w:w="540"/>
        <w:gridCol w:w="1350"/>
      </w:tblGrid>
      <w:tr w:rsidR="000D3470" w:rsidRPr="000D3470" w14:paraId="78FAEF6B" w14:textId="77777777" w:rsidTr="000D3470">
        <w:trPr>
          <w:trHeight w:val="147"/>
        </w:trPr>
        <w:tc>
          <w:tcPr>
            <w:tcW w:w="9990" w:type="dxa"/>
            <w:gridSpan w:val="9"/>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F30B08" w14:textId="77777777" w:rsidR="000D3470" w:rsidRPr="000D3470" w:rsidRDefault="000D3470" w:rsidP="000D3470">
            <w:pPr>
              <w:spacing w:after="0" w:line="240" w:lineRule="auto"/>
              <w:jc w:val="center"/>
              <w:rPr>
                <w:rFonts w:ascii="Calibri" w:eastAsia="Times New Roman" w:hAnsi="Calibri" w:cs="Calibri"/>
                <w:b/>
                <w:bCs/>
                <w:color w:val="000000"/>
                <w:sz w:val="24"/>
                <w:szCs w:val="24"/>
              </w:rPr>
            </w:pPr>
            <w:r w:rsidRPr="000D3470">
              <w:rPr>
                <w:rFonts w:ascii="Calibri" w:eastAsia="Times New Roman" w:hAnsi="Calibri" w:cs="Calibri"/>
                <w:b/>
                <w:bCs/>
                <w:color w:val="000000"/>
                <w:sz w:val="24"/>
                <w:szCs w:val="24"/>
              </w:rPr>
              <w:t>Duquesne University COM Grading Scale and GPAs (Quality Points)</w:t>
            </w:r>
          </w:p>
        </w:tc>
      </w:tr>
      <w:tr w:rsidR="000D3470" w:rsidRPr="000D3470" w14:paraId="4E394E32" w14:textId="77777777" w:rsidTr="000D3470">
        <w:trPr>
          <w:trHeight w:val="245"/>
        </w:trPr>
        <w:tc>
          <w:tcPr>
            <w:tcW w:w="1710" w:type="dxa"/>
            <w:gridSpan w:val="2"/>
            <w:vMerge w:val="restart"/>
            <w:tcBorders>
              <w:top w:val="nil"/>
              <w:left w:val="single" w:sz="8" w:space="0" w:color="auto"/>
              <w:bottom w:val="single" w:sz="4" w:space="0" w:color="auto"/>
              <w:right w:val="single" w:sz="4" w:space="0" w:color="auto"/>
            </w:tcBorders>
            <w:shd w:val="clear" w:color="000000" w:fill="D9E1F2"/>
            <w:noWrap/>
            <w:vAlign w:val="center"/>
            <w:hideMark/>
          </w:tcPr>
          <w:p w14:paraId="4DBFE0F1"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MS1-MS2 Courses</w:t>
            </w:r>
          </w:p>
        </w:tc>
        <w:tc>
          <w:tcPr>
            <w:tcW w:w="1440" w:type="dxa"/>
            <w:vMerge w:val="restart"/>
            <w:tcBorders>
              <w:top w:val="nil"/>
              <w:left w:val="single" w:sz="4" w:space="0" w:color="auto"/>
              <w:bottom w:val="single" w:sz="4" w:space="0" w:color="auto"/>
              <w:right w:val="single" w:sz="8" w:space="0" w:color="auto"/>
            </w:tcBorders>
            <w:shd w:val="clear" w:color="000000" w:fill="D9E1F2"/>
            <w:vAlign w:val="center"/>
            <w:hideMark/>
          </w:tcPr>
          <w:p w14:paraId="55256E2B" w14:textId="77777777" w:rsidR="000D3470" w:rsidRPr="000D3470" w:rsidRDefault="000D3470" w:rsidP="000D3470">
            <w:pPr>
              <w:spacing w:after="0" w:line="240" w:lineRule="auto"/>
              <w:jc w:val="center"/>
              <w:rPr>
                <w:rFonts w:ascii="Calibri" w:eastAsia="Times New Roman" w:hAnsi="Calibri" w:cs="Calibri"/>
                <w:color w:val="000000"/>
                <w:sz w:val="24"/>
                <w:szCs w:val="24"/>
              </w:rPr>
            </w:pPr>
            <w:r w:rsidRPr="000D3470">
              <w:rPr>
                <w:rFonts w:ascii="Calibri" w:eastAsia="Times New Roman" w:hAnsi="Calibri" w:cs="Calibri"/>
                <w:color w:val="000000"/>
                <w:sz w:val="24"/>
                <w:szCs w:val="24"/>
              </w:rPr>
              <w:t>Quality Points per credit hour</w:t>
            </w:r>
          </w:p>
        </w:tc>
        <w:tc>
          <w:tcPr>
            <w:tcW w:w="4950" w:type="dxa"/>
            <w:gridSpan w:val="4"/>
            <w:tcBorders>
              <w:top w:val="single" w:sz="4" w:space="0" w:color="auto"/>
              <w:left w:val="nil"/>
              <w:bottom w:val="single" w:sz="4" w:space="0" w:color="auto"/>
              <w:right w:val="nil"/>
            </w:tcBorders>
            <w:shd w:val="clear" w:color="000000" w:fill="D9E1F2"/>
            <w:noWrap/>
            <w:vAlign w:val="center"/>
            <w:hideMark/>
          </w:tcPr>
          <w:p w14:paraId="180041B0"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MS3-MS4 Rotations</w:t>
            </w:r>
          </w:p>
        </w:tc>
        <w:tc>
          <w:tcPr>
            <w:tcW w:w="1890" w:type="dxa"/>
            <w:gridSpan w:val="2"/>
            <w:vMerge w:val="restart"/>
            <w:tcBorders>
              <w:top w:val="single" w:sz="4" w:space="0" w:color="auto"/>
              <w:left w:val="single" w:sz="8" w:space="0" w:color="auto"/>
              <w:bottom w:val="single" w:sz="4" w:space="0" w:color="auto"/>
              <w:right w:val="single" w:sz="8" w:space="0" w:color="000000"/>
            </w:tcBorders>
            <w:shd w:val="clear" w:color="000000" w:fill="D9E1F2"/>
            <w:noWrap/>
            <w:vAlign w:val="center"/>
            <w:hideMark/>
          </w:tcPr>
          <w:p w14:paraId="5CE4BD26"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Other Grades</w:t>
            </w:r>
          </w:p>
        </w:tc>
      </w:tr>
      <w:tr w:rsidR="000D3470" w:rsidRPr="000D3470" w14:paraId="208B3141" w14:textId="77777777" w:rsidTr="000D3470">
        <w:trPr>
          <w:trHeight w:val="300"/>
        </w:trPr>
        <w:tc>
          <w:tcPr>
            <w:tcW w:w="1710" w:type="dxa"/>
            <w:gridSpan w:val="2"/>
            <w:vMerge/>
            <w:tcBorders>
              <w:top w:val="nil"/>
              <w:left w:val="single" w:sz="8" w:space="0" w:color="auto"/>
              <w:bottom w:val="single" w:sz="4" w:space="0" w:color="auto"/>
              <w:right w:val="single" w:sz="4" w:space="0" w:color="auto"/>
            </w:tcBorders>
            <w:vAlign w:val="center"/>
            <w:hideMark/>
          </w:tcPr>
          <w:p w14:paraId="0779A384" w14:textId="77777777" w:rsidR="000D3470" w:rsidRPr="000D3470" w:rsidRDefault="000D3470" w:rsidP="000D3470">
            <w:pPr>
              <w:spacing w:after="0" w:line="240" w:lineRule="auto"/>
              <w:rPr>
                <w:rFonts w:ascii="Calibri" w:eastAsia="Times New Roman" w:hAnsi="Calibri" w:cs="Calibr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6082C024" w14:textId="77777777" w:rsidR="000D3470" w:rsidRPr="000D3470" w:rsidRDefault="000D3470" w:rsidP="000D3470">
            <w:pPr>
              <w:spacing w:after="0" w:line="240" w:lineRule="auto"/>
              <w:rPr>
                <w:rFonts w:ascii="Calibri" w:eastAsia="Times New Roman" w:hAnsi="Calibri" w:cs="Calibri"/>
                <w:color w:val="000000"/>
                <w:sz w:val="24"/>
                <w:szCs w:val="24"/>
              </w:rPr>
            </w:pPr>
          </w:p>
        </w:tc>
        <w:tc>
          <w:tcPr>
            <w:tcW w:w="1530" w:type="dxa"/>
            <w:tcBorders>
              <w:top w:val="nil"/>
              <w:left w:val="nil"/>
              <w:bottom w:val="single" w:sz="4" w:space="0" w:color="auto"/>
              <w:right w:val="single" w:sz="4" w:space="0" w:color="auto"/>
            </w:tcBorders>
            <w:shd w:val="clear" w:color="000000" w:fill="D9E1F2"/>
            <w:vAlign w:val="center"/>
            <w:hideMark/>
          </w:tcPr>
          <w:p w14:paraId="1311FFF8"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Preceptor Eval Grade</w:t>
            </w:r>
          </w:p>
        </w:tc>
        <w:tc>
          <w:tcPr>
            <w:tcW w:w="1296" w:type="dxa"/>
            <w:tcBorders>
              <w:top w:val="nil"/>
              <w:left w:val="nil"/>
              <w:bottom w:val="single" w:sz="4" w:space="0" w:color="auto"/>
              <w:right w:val="single" w:sz="4" w:space="0" w:color="auto"/>
            </w:tcBorders>
            <w:shd w:val="clear" w:color="000000" w:fill="D9E1F2"/>
            <w:noWrap/>
            <w:vAlign w:val="center"/>
            <w:hideMark/>
          </w:tcPr>
          <w:p w14:paraId="34958D3C"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Exam Grade</w:t>
            </w:r>
          </w:p>
        </w:tc>
        <w:tc>
          <w:tcPr>
            <w:tcW w:w="1241" w:type="dxa"/>
            <w:tcBorders>
              <w:top w:val="nil"/>
              <w:left w:val="nil"/>
              <w:bottom w:val="single" w:sz="4" w:space="0" w:color="auto"/>
              <w:right w:val="nil"/>
            </w:tcBorders>
            <w:shd w:val="clear" w:color="000000" w:fill="D9E1F2"/>
            <w:vAlign w:val="center"/>
            <w:hideMark/>
          </w:tcPr>
          <w:p w14:paraId="6857FCDA"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Overall Final Grade</w:t>
            </w:r>
          </w:p>
        </w:tc>
        <w:tc>
          <w:tcPr>
            <w:tcW w:w="883" w:type="dxa"/>
            <w:tcBorders>
              <w:top w:val="nil"/>
              <w:left w:val="single" w:sz="4" w:space="0" w:color="auto"/>
              <w:bottom w:val="single" w:sz="4" w:space="0" w:color="auto"/>
              <w:right w:val="nil"/>
            </w:tcBorders>
            <w:shd w:val="clear" w:color="000000" w:fill="D9E1F2"/>
            <w:vAlign w:val="center"/>
            <w:hideMark/>
          </w:tcPr>
          <w:p w14:paraId="128C3108"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Quality Points</w:t>
            </w:r>
          </w:p>
        </w:tc>
        <w:tc>
          <w:tcPr>
            <w:tcW w:w="1890" w:type="dxa"/>
            <w:gridSpan w:val="2"/>
            <w:vMerge/>
            <w:tcBorders>
              <w:top w:val="nil"/>
              <w:left w:val="single" w:sz="4" w:space="0" w:color="auto"/>
              <w:bottom w:val="single" w:sz="4" w:space="0" w:color="auto"/>
              <w:right w:val="nil"/>
            </w:tcBorders>
            <w:vAlign w:val="center"/>
            <w:hideMark/>
          </w:tcPr>
          <w:p w14:paraId="2741C0B9"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378D5AE1"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16ED5F5C"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A</w:t>
            </w:r>
          </w:p>
        </w:tc>
        <w:tc>
          <w:tcPr>
            <w:tcW w:w="1080" w:type="dxa"/>
            <w:tcBorders>
              <w:top w:val="nil"/>
              <w:left w:val="nil"/>
              <w:bottom w:val="single" w:sz="4" w:space="0" w:color="auto"/>
              <w:right w:val="single" w:sz="4" w:space="0" w:color="auto"/>
            </w:tcBorders>
            <w:shd w:val="clear" w:color="000000" w:fill="FFF2CC"/>
            <w:noWrap/>
            <w:vAlign w:val="center"/>
            <w:hideMark/>
          </w:tcPr>
          <w:p w14:paraId="2B70109C"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90-100%</w:t>
            </w:r>
          </w:p>
        </w:tc>
        <w:tc>
          <w:tcPr>
            <w:tcW w:w="1440" w:type="dxa"/>
            <w:tcBorders>
              <w:top w:val="nil"/>
              <w:left w:val="nil"/>
              <w:bottom w:val="single" w:sz="4" w:space="0" w:color="auto"/>
              <w:right w:val="single" w:sz="8" w:space="0" w:color="auto"/>
            </w:tcBorders>
            <w:shd w:val="clear" w:color="000000" w:fill="FFF2CC"/>
            <w:noWrap/>
            <w:vAlign w:val="center"/>
            <w:hideMark/>
          </w:tcPr>
          <w:p w14:paraId="0539EF64"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4</w:t>
            </w:r>
          </w:p>
        </w:tc>
        <w:tc>
          <w:tcPr>
            <w:tcW w:w="1530" w:type="dxa"/>
            <w:tcBorders>
              <w:top w:val="nil"/>
              <w:left w:val="nil"/>
              <w:bottom w:val="single" w:sz="4" w:space="0" w:color="auto"/>
              <w:right w:val="single" w:sz="4" w:space="0" w:color="auto"/>
            </w:tcBorders>
            <w:shd w:val="clear" w:color="000000" w:fill="FFE699"/>
            <w:noWrap/>
            <w:vAlign w:val="center"/>
            <w:hideMark/>
          </w:tcPr>
          <w:p w14:paraId="1AA18415"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Honors</w:t>
            </w:r>
          </w:p>
        </w:tc>
        <w:tc>
          <w:tcPr>
            <w:tcW w:w="1296" w:type="dxa"/>
            <w:tcBorders>
              <w:top w:val="nil"/>
              <w:left w:val="nil"/>
              <w:bottom w:val="single" w:sz="4" w:space="0" w:color="auto"/>
              <w:right w:val="single" w:sz="4" w:space="0" w:color="auto"/>
            </w:tcBorders>
            <w:shd w:val="clear" w:color="000000" w:fill="FFE699"/>
            <w:noWrap/>
            <w:vAlign w:val="center"/>
            <w:hideMark/>
          </w:tcPr>
          <w:p w14:paraId="4154C84F"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Honors</w:t>
            </w:r>
          </w:p>
        </w:tc>
        <w:tc>
          <w:tcPr>
            <w:tcW w:w="1241" w:type="dxa"/>
            <w:tcBorders>
              <w:top w:val="nil"/>
              <w:left w:val="nil"/>
              <w:bottom w:val="single" w:sz="4" w:space="0" w:color="auto"/>
              <w:right w:val="nil"/>
            </w:tcBorders>
            <w:shd w:val="clear" w:color="000000" w:fill="FFE699"/>
            <w:vAlign w:val="center"/>
            <w:hideMark/>
          </w:tcPr>
          <w:p w14:paraId="6C955EC1"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Honors</w:t>
            </w:r>
          </w:p>
        </w:tc>
        <w:tc>
          <w:tcPr>
            <w:tcW w:w="883" w:type="dxa"/>
            <w:tcBorders>
              <w:top w:val="nil"/>
              <w:left w:val="single" w:sz="4" w:space="0" w:color="auto"/>
              <w:bottom w:val="single" w:sz="4" w:space="0" w:color="auto"/>
              <w:right w:val="nil"/>
            </w:tcBorders>
            <w:shd w:val="clear" w:color="000000" w:fill="FFE699"/>
            <w:vAlign w:val="center"/>
            <w:hideMark/>
          </w:tcPr>
          <w:p w14:paraId="39610D12"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4</w:t>
            </w:r>
          </w:p>
        </w:tc>
        <w:tc>
          <w:tcPr>
            <w:tcW w:w="540" w:type="dxa"/>
            <w:tcBorders>
              <w:top w:val="nil"/>
              <w:left w:val="single" w:sz="8" w:space="0" w:color="auto"/>
              <w:bottom w:val="single" w:sz="4" w:space="0" w:color="auto"/>
              <w:right w:val="single" w:sz="4" w:space="0" w:color="auto"/>
            </w:tcBorders>
            <w:shd w:val="clear" w:color="000000" w:fill="FFD966"/>
            <w:noWrap/>
            <w:vAlign w:val="center"/>
            <w:hideMark/>
          </w:tcPr>
          <w:p w14:paraId="5B3F4839"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IC</w:t>
            </w:r>
          </w:p>
        </w:tc>
        <w:tc>
          <w:tcPr>
            <w:tcW w:w="1350" w:type="dxa"/>
            <w:tcBorders>
              <w:top w:val="nil"/>
              <w:left w:val="nil"/>
              <w:bottom w:val="single" w:sz="4" w:space="0" w:color="auto"/>
              <w:right w:val="single" w:sz="8" w:space="0" w:color="auto"/>
            </w:tcBorders>
            <w:shd w:val="clear" w:color="000000" w:fill="FFD966"/>
            <w:noWrap/>
            <w:vAlign w:val="center"/>
            <w:hideMark/>
          </w:tcPr>
          <w:p w14:paraId="25C2A6FF"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Incomplete</w:t>
            </w:r>
          </w:p>
        </w:tc>
      </w:tr>
      <w:tr w:rsidR="000D3470" w:rsidRPr="000D3470" w14:paraId="4B1C2895"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44E44633"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B</w:t>
            </w:r>
          </w:p>
        </w:tc>
        <w:tc>
          <w:tcPr>
            <w:tcW w:w="1080" w:type="dxa"/>
            <w:tcBorders>
              <w:top w:val="nil"/>
              <w:left w:val="nil"/>
              <w:bottom w:val="single" w:sz="4" w:space="0" w:color="auto"/>
              <w:right w:val="single" w:sz="4" w:space="0" w:color="auto"/>
            </w:tcBorders>
            <w:shd w:val="clear" w:color="000000" w:fill="FFF2CC"/>
            <w:noWrap/>
            <w:vAlign w:val="center"/>
            <w:hideMark/>
          </w:tcPr>
          <w:p w14:paraId="0465F1EA"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80-89%</w:t>
            </w:r>
          </w:p>
        </w:tc>
        <w:tc>
          <w:tcPr>
            <w:tcW w:w="1440" w:type="dxa"/>
            <w:tcBorders>
              <w:top w:val="nil"/>
              <w:left w:val="nil"/>
              <w:bottom w:val="single" w:sz="4" w:space="0" w:color="auto"/>
              <w:right w:val="single" w:sz="8" w:space="0" w:color="auto"/>
            </w:tcBorders>
            <w:shd w:val="clear" w:color="000000" w:fill="FFF2CC"/>
            <w:noWrap/>
            <w:vAlign w:val="center"/>
            <w:hideMark/>
          </w:tcPr>
          <w:p w14:paraId="55FE5A40"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3</w:t>
            </w:r>
          </w:p>
        </w:tc>
        <w:tc>
          <w:tcPr>
            <w:tcW w:w="1530" w:type="dxa"/>
            <w:tcBorders>
              <w:top w:val="nil"/>
              <w:left w:val="nil"/>
              <w:bottom w:val="single" w:sz="4" w:space="0" w:color="auto"/>
              <w:right w:val="single" w:sz="4" w:space="0" w:color="auto"/>
            </w:tcBorders>
            <w:shd w:val="clear" w:color="000000" w:fill="FFE699"/>
            <w:noWrap/>
            <w:vAlign w:val="center"/>
            <w:hideMark/>
          </w:tcPr>
          <w:p w14:paraId="19D92497"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Honors</w:t>
            </w:r>
          </w:p>
        </w:tc>
        <w:tc>
          <w:tcPr>
            <w:tcW w:w="1296" w:type="dxa"/>
            <w:tcBorders>
              <w:top w:val="nil"/>
              <w:left w:val="nil"/>
              <w:bottom w:val="single" w:sz="4" w:space="0" w:color="auto"/>
              <w:right w:val="single" w:sz="4" w:space="0" w:color="auto"/>
            </w:tcBorders>
            <w:shd w:val="clear" w:color="000000" w:fill="FFE699"/>
            <w:noWrap/>
            <w:vAlign w:val="center"/>
            <w:hideMark/>
          </w:tcPr>
          <w:p w14:paraId="3A5D7871"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High Pass</w:t>
            </w:r>
          </w:p>
        </w:tc>
        <w:tc>
          <w:tcPr>
            <w:tcW w:w="1241" w:type="dxa"/>
            <w:tcBorders>
              <w:top w:val="nil"/>
              <w:left w:val="nil"/>
              <w:bottom w:val="single" w:sz="4" w:space="0" w:color="auto"/>
              <w:right w:val="nil"/>
            </w:tcBorders>
            <w:shd w:val="clear" w:color="000000" w:fill="FFE699"/>
            <w:vAlign w:val="center"/>
            <w:hideMark/>
          </w:tcPr>
          <w:p w14:paraId="2EE25ABF"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Honors</w:t>
            </w:r>
          </w:p>
        </w:tc>
        <w:tc>
          <w:tcPr>
            <w:tcW w:w="883" w:type="dxa"/>
            <w:tcBorders>
              <w:top w:val="nil"/>
              <w:left w:val="single" w:sz="4" w:space="0" w:color="auto"/>
              <w:bottom w:val="single" w:sz="4" w:space="0" w:color="auto"/>
              <w:right w:val="nil"/>
            </w:tcBorders>
            <w:shd w:val="clear" w:color="000000" w:fill="FFE699"/>
            <w:vAlign w:val="center"/>
            <w:hideMark/>
          </w:tcPr>
          <w:p w14:paraId="3CC0271B"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4</w:t>
            </w:r>
          </w:p>
        </w:tc>
        <w:tc>
          <w:tcPr>
            <w:tcW w:w="540" w:type="dxa"/>
            <w:tcBorders>
              <w:top w:val="nil"/>
              <w:left w:val="single" w:sz="8" w:space="0" w:color="auto"/>
              <w:bottom w:val="single" w:sz="4" w:space="0" w:color="auto"/>
              <w:right w:val="single" w:sz="4" w:space="0" w:color="auto"/>
            </w:tcBorders>
            <w:shd w:val="clear" w:color="000000" w:fill="FFD966"/>
            <w:noWrap/>
            <w:vAlign w:val="center"/>
            <w:hideMark/>
          </w:tcPr>
          <w:p w14:paraId="32A908DB"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W</w:t>
            </w:r>
          </w:p>
        </w:tc>
        <w:tc>
          <w:tcPr>
            <w:tcW w:w="1350" w:type="dxa"/>
            <w:tcBorders>
              <w:top w:val="nil"/>
              <w:left w:val="nil"/>
              <w:bottom w:val="single" w:sz="4" w:space="0" w:color="auto"/>
              <w:right w:val="single" w:sz="8" w:space="0" w:color="auto"/>
            </w:tcBorders>
            <w:shd w:val="clear" w:color="000000" w:fill="FFD966"/>
            <w:noWrap/>
            <w:vAlign w:val="center"/>
            <w:hideMark/>
          </w:tcPr>
          <w:p w14:paraId="19C58F6E"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Withdrawal</w:t>
            </w:r>
          </w:p>
        </w:tc>
      </w:tr>
      <w:tr w:rsidR="000D3470" w:rsidRPr="000D3470" w14:paraId="5128DB96"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124DA9C2"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C</w:t>
            </w:r>
          </w:p>
        </w:tc>
        <w:tc>
          <w:tcPr>
            <w:tcW w:w="1080" w:type="dxa"/>
            <w:tcBorders>
              <w:top w:val="nil"/>
              <w:left w:val="nil"/>
              <w:bottom w:val="single" w:sz="4" w:space="0" w:color="auto"/>
              <w:right w:val="single" w:sz="4" w:space="0" w:color="auto"/>
            </w:tcBorders>
            <w:shd w:val="clear" w:color="000000" w:fill="FFF2CC"/>
            <w:noWrap/>
            <w:vAlign w:val="center"/>
            <w:hideMark/>
          </w:tcPr>
          <w:p w14:paraId="487631D8"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70-79%</w:t>
            </w:r>
          </w:p>
        </w:tc>
        <w:tc>
          <w:tcPr>
            <w:tcW w:w="1440" w:type="dxa"/>
            <w:tcBorders>
              <w:top w:val="nil"/>
              <w:left w:val="nil"/>
              <w:bottom w:val="single" w:sz="4" w:space="0" w:color="auto"/>
              <w:right w:val="single" w:sz="8" w:space="0" w:color="auto"/>
            </w:tcBorders>
            <w:shd w:val="clear" w:color="000000" w:fill="FFF2CC"/>
            <w:noWrap/>
            <w:vAlign w:val="center"/>
            <w:hideMark/>
          </w:tcPr>
          <w:p w14:paraId="79631869"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2</w:t>
            </w:r>
          </w:p>
        </w:tc>
        <w:tc>
          <w:tcPr>
            <w:tcW w:w="1530" w:type="dxa"/>
            <w:tcBorders>
              <w:top w:val="nil"/>
              <w:left w:val="nil"/>
              <w:bottom w:val="single" w:sz="4" w:space="0" w:color="auto"/>
              <w:right w:val="single" w:sz="4" w:space="0" w:color="auto"/>
            </w:tcBorders>
            <w:shd w:val="clear" w:color="000000" w:fill="FFE699"/>
            <w:noWrap/>
            <w:vAlign w:val="center"/>
            <w:hideMark/>
          </w:tcPr>
          <w:p w14:paraId="69AC7864"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High Pass</w:t>
            </w:r>
          </w:p>
        </w:tc>
        <w:tc>
          <w:tcPr>
            <w:tcW w:w="1296" w:type="dxa"/>
            <w:tcBorders>
              <w:top w:val="nil"/>
              <w:left w:val="nil"/>
              <w:bottom w:val="single" w:sz="4" w:space="0" w:color="auto"/>
              <w:right w:val="single" w:sz="4" w:space="0" w:color="auto"/>
            </w:tcBorders>
            <w:shd w:val="clear" w:color="000000" w:fill="FFE699"/>
            <w:noWrap/>
            <w:vAlign w:val="center"/>
            <w:hideMark/>
          </w:tcPr>
          <w:p w14:paraId="18938519"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Honors</w:t>
            </w:r>
          </w:p>
        </w:tc>
        <w:tc>
          <w:tcPr>
            <w:tcW w:w="1241" w:type="dxa"/>
            <w:tcBorders>
              <w:top w:val="nil"/>
              <w:left w:val="nil"/>
              <w:bottom w:val="single" w:sz="4" w:space="0" w:color="auto"/>
              <w:right w:val="nil"/>
            </w:tcBorders>
            <w:shd w:val="clear" w:color="000000" w:fill="FFE699"/>
            <w:vAlign w:val="center"/>
            <w:hideMark/>
          </w:tcPr>
          <w:p w14:paraId="6E65D1B7"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Honors</w:t>
            </w:r>
          </w:p>
        </w:tc>
        <w:tc>
          <w:tcPr>
            <w:tcW w:w="883" w:type="dxa"/>
            <w:tcBorders>
              <w:top w:val="nil"/>
              <w:left w:val="single" w:sz="4" w:space="0" w:color="auto"/>
              <w:bottom w:val="single" w:sz="4" w:space="0" w:color="auto"/>
              <w:right w:val="nil"/>
            </w:tcBorders>
            <w:shd w:val="clear" w:color="000000" w:fill="FFE699"/>
            <w:vAlign w:val="center"/>
            <w:hideMark/>
          </w:tcPr>
          <w:p w14:paraId="532B5E2D"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4</w:t>
            </w:r>
          </w:p>
        </w:tc>
        <w:tc>
          <w:tcPr>
            <w:tcW w:w="1890" w:type="dxa"/>
            <w:gridSpan w:val="2"/>
            <w:vMerge w:val="restart"/>
            <w:tcBorders>
              <w:top w:val="single" w:sz="4" w:space="0" w:color="auto"/>
              <w:left w:val="single" w:sz="8" w:space="0" w:color="auto"/>
              <w:bottom w:val="single" w:sz="8" w:space="0" w:color="000000"/>
              <w:right w:val="single" w:sz="8" w:space="0" w:color="000000"/>
            </w:tcBorders>
            <w:shd w:val="clear" w:color="000000" w:fill="8EA9DB"/>
            <w:noWrap/>
            <w:vAlign w:val="center"/>
            <w:hideMark/>
          </w:tcPr>
          <w:p w14:paraId="41C8D890"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 </w:t>
            </w:r>
          </w:p>
        </w:tc>
      </w:tr>
      <w:tr w:rsidR="000D3470" w:rsidRPr="000D3470" w14:paraId="3E47EB7C"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277CEA14"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C-R*</w:t>
            </w:r>
          </w:p>
        </w:tc>
        <w:tc>
          <w:tcPr>
            <w:tcW w:w="1080" w:type="dxa"/>
            <w:tcBorders>
              <w:top w:val="nil"/>
              <w:left w:val="nil"/>
              <w:bottom w:val="single" w:sz="4" w:space="0" w:color="auto"/>
              <w:right w:val="single" w:sz="4" w:space="0" w:color="auto"/>
            </w:tcBorders>
            <w:shd w:val="clear" w:color="000000" w:fill="FFF2CC"/>
            <w:noWrap/>
            <w:vAlign w:val="center"/>
            <w:hideMark/>
          </w:tcPr>
          <w:p w14:paraId="7E2CB9E8"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70%</w:t>
            </w:r>
          </w:p>
        </w:tc>
        <w:tc>
          <w:tcPr>
            <w:tcW w:w="1440" w:type="dxa"/>
            <w:tcBorders>
              <w:top w:val="nil"/>
              <w:left w:val="nil"/>
              <w:bottom w:val="single" w:sz="4" w:space="0" w:color="auto"/>
              <w:right w:val="single" w:sz="8" w:space="0" w:color="auto"/>
            </w:tcBorders>
            <w:shd w:val="clear" w:color="000000" w:fill="FFF2CC"/>
            <w:noWrap/>
            <w:vAlign w:val="center"/>
            <w:hideMark/>
          </w:tcPr>
          <w:p w14:paraId="14E505C6"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2</w:t>
            </w:r>
          </w:p>
        </w:tc>
        <w:tc>
          <w:tcPr>
            <w:tcW w:w="1530" w:type="dxa"/>
            <w:tcBorders>
              <w:top w:val="nil"/>
              <w:left w:val="nil"/>
              <w:bottom w:val="single" w:sz="4" w:space="0" w:color="auto"/>
              <w:right w:val="single" w:sz="4" w:space="0" w:color="auto"/>
            </w:tcBorders>
            <w:shd w:val="clear" w:color="000000" w:fill="FFE699"/>
            <w:noWrap/>
            <w:vAlign w:val="center"/>
            <w:hideMark/>
          </w:tcPr>
          <w:p w14:paraId="311B4696"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High Pass</w:t>
            </w:r>
          </w:p>
        </w:tc>
        <w:tc>
          <w:tcPr>
            <w:tcW w:w="1296" w:type="dxa"/>
            <w:tcBorders>
              <w:top w:val="nil"/>
              <w:left w:val="nil"/>
              <w:bottom w:val="single" w:sz="4" w:space="0" w:color="auto"/>
              <w:right w:val="single" w:sz="4" w:space="0" w:color="auto"/>
            </w:tcBorders>
            <w:shd w:val="clear" w:color="000000" w:fill="FFE699"/>
            <w:noWrap/>
            <w:vAlign w:val="center"/>
            <w:hideMark/>
          </w:tcPr>
          <w:p w14:paraId="7E6FB12B"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High Pass</w:t>
            </w:r>
          </w:p>
        </w:tc>
        <w:tc>
          <w:tcPr>
            <w:tcW w:w="1241" w:type="dxa"/>
            <w:tcBorders>
              <w:top w:val="nil"/>
              <w:left w:val="nil"/>
              <w:bottom w:val="single" w:sz="4" w:space="0" w:color="auto"/>
              <w:right w:val="nil"/>
            </w:tcBorders>
            <w:shd w:val="clear" w:color="000000" w:fill="FFE699"/>
            <w:vAlign w:val="center"/>
            <w:hideMark/>
          </w:tcPr>
          <w:p w14:paraId="1DECC62B"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High Pass</w:t>
            </w:r>
          </w:p>
        </w:tc>
        <w:tc>
          <w:tcPr>
            <w:tcW w:w="883" w:type="dxa"/>
            <w:tcBorders>
              <w:top w:val="nil"/>
              <w:left w:val="single" w:sz="4" w:space="0" w:color="auto"/>
              <w:bottom w:val="single" w:sz="4" w:space="0" w:color="auto"/>
              <w:right w:val="nil"/>
            </w:tcBorders>
            <w:shd w:val="clear" w:color="000000" w:fill="FFE699"/>
            <w:vAlign w:val="center"/>
            <w:hideMark/>
          </w:tcPr>
          <w:p w14:paraId="1F7B29BA"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3</w:t>
            </w:r>
          </w:p>
        </w:tc>
        <w:tc>
          <w:tcPr>
            <w:tcW w:w="1890" w:type="dxa"/>
            <w:gridSpan w:val="2"/>
            <w:vMerge/>
            <w:tcBorders>
              <w:top w:val="nil"/>
              <w:left w:val="single" w:sz="4" w:space="0" w:color="auto"/>
              <w:bottom w:val="single" w:sz="4" w:space="0" w:color="auto"/>
              <w:right w:val="nil"/>
            </w:tcBorders>
            <w:vAlign w:val="center"/>
            <w:hideMark/>
          </w:tcPr>
          <w:p w14:paraId="52FC90B2"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48414EC7"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6821C052"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000000" w:fill="FFF2CC"/>
            <w:noWrap/>
            <w:vAlign w:val="center"/>
            <w:hideMark/>
          </w:tcPr>
          <w:p w14:paraId="71DC068B" w14:textId="77777777" w:rsidR="000D3470" w:rsidRPr="000D3470" w:rsidRDefault="000D3470" w:rsidP="000D3470">
            <w:pPr>
              <w:spacing w:after="0" w:line="240" w:lineRule="auto"/>
              <w:rPr>
                <w:rFonts w:ascii="Calibri" w:eastAsia="Times New Roman" w:hAnsi="Calibri" w:cs="Calibri"/>
                <w:color w:val="000000"/>
              </w:rPr>
            </w:pPr>
            <w:r w:rsidRPr="000D3470">
              <w:rPr>
                <w:rFonts w:ascii="Calibri" w:eastAsia="Times New Roman" w:hAnsi="Calibri" w:cs="Calibri"/>
                <w:color w:val="000000"/>
              </w:rPr>
              <w:t> </w:t>
            </w:r>
          </w:p>
        </w:tc>
        <w:tc>
          <w:tcPr>
            <w:tcW w:w="1440" w:type="dxa"/>
            <w:tcBorders>
              <w:top w:val="nil"/>
              <w:left w:val="nil"/>
              <w:bottom w:val="single" w:sz="4" w:space="0" w:color="auto"/>
              <w:right w:val="single" w:sz="8" w:space="0" w:color="auto"/>
            </w:tcBorders>
            <w:shd w:val="clear" w:color="000000" w:fill="FFF2CC"/>
            <w:noWrap/>
            <w:vAlign w:val="center"/>
            <w:hideMark/>
          </w:tcPr>
          <w:p w14:paraId="20F3ECE6" w14:textId="77777777" w:rsidR="000D3470" w:rsidRPr="000D3470" w:rsidRDefault="000D3470" w:rsidP="000D3470">
            <w:pPr>
              <w:spacing w:after="0" w:line="240" w:lineRule="auto"/>
              <w:rPr>
                <w:rFonts w:ascii="Calibri" w:eastAsia="Times New Roman" w:hAnsi="Calibri" w:cs="Calibri"/>
                <w:b/>
                <w:bCs/>
                <w:color w:val="000000"/>
              </w:rPr>
            </w:pPr>
            <w:r w:rsidRPr="000D3470">
              <w:rPr>
                <w:rFonts w:ascii="Calibri" w:eastAsia="Times New Roman" w:hAnsi="Calibri" w:cs="Calibri"/>
                <w:b/>
                <w:bCs/>
                <w:color w:val="000000"/>
              </w:rPr>
              <w:t> </w:t>
            </w:r>
          </w:p>
        </w:tc>
        <w:tc>
          <w:tcPr>
            <w:tcW w:w="1530" w:type="dxa"/>
            <w:tcBorders>
              <w:top w:val="nil"/>
              <w:left w:val="nil"/>
              <w:bottom w:val="single" w:sz="4" w:space="0" w:color="auto"/>
              <w:right w:val="single" w:sz="4" w:space="0" w:color="auto"/>
            </w:tcBorders>
            <w:shd w:val="clear" w:color="000000" w:fill="FFE699"/>
            <w:noWrap/>
            <w:vAlign w:val="center"/>
            <w:hideMark/>
          </w:tcPr>
          <w:p w14:paraId="48D3E455"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Honors</w:t>
            </w:r>
          </w:p>
        </w:tc>
        <w:tc>
          <w:tcPr>
            <w:tcW w:w="1296" w:type="dxa"/>
            <w:tcBorders>
              <w:top w:val="nil"/>
              <w:left w:val="nil"/>
              <w:bottom w:val="single" w:sz="4" w:space="0" w:color="auto"/>
              <w:right w:val="single" w:sz="4" w:space="0" w:color="auto"/>
            </w:tcBorders>
            <w:shd w:val="clear" w:color="000000" w:fill="FFE699"/>
            <w:noWrap/>
            <w:vAlign w:val="center"/>
            <w:hideMark/>
          </w:tcPr>
          <w:p w14:paraId="03EB743D"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Pass</w:t>
            </w:r>
          </w:p>
        </w:tc>
        <w:tc>
          <w:tcPr>
            <w:tcW w:w="1241" w:type="dxa"/>
            <w:tcBorders>
              <w:top w:val="nil"/>
              <w:left w:val="nil"/>
              <w:bottom w:val="single" w:sz="4" w:space="0" w:color="auto"/>
              <w:right w:val="nil"/>
            </w:tcBorders>
            <w:shd w:val="clear" w:color="000000" w:fill="FFE699"/>
            <w:vAlign w:val="center"/>
            <w:hideMark/>
          </w:tcPr>
          <w:p w14:paraId="7AD6F617"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High Pass</w:t>
            </w:r>
          </w:p>
        </w:tc>
        <w:tc>
          <w:tcPr>
            <w:tcW w:w="883" w:type="dxa"/>
            <w:tcBorders>
              <w:top w:val="nil"/>
              <w:left w:val="single" w:sz="4" w:space="0" w:color="auto"/>
              <w:bottom w:val="single" w:sz="4" w:space="0" w:color="auto"/>
              <w:right w:val="nil"/>
            </w:tcBorders>
            <w:shd w:val="clear" w:color="000000" w:fill="FFE699"/>
            <w:vAlign w:val="center"/>
            <w:hideMark/>
          </w:tcPr>
          <w:p w14:paraId="23ABB775"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3</w:t>
            </w:r>
          </w:p>
        </w:tc>
        <w:tc>
          <w:tcPr>
            <w:tcW w:w="1890" w:type="dxa"/>
            <w:gridSpan w:val="2"/>
            <w:vMerge/>
            <w:tcBorders>
              <w:top w:val="nil"/>
              <w:left w:val="single" w:sz="4" w:space="0" w:color="auto"/>
              <w:bottom w:val="single" w:sz="4" w:space="0" w:color="auto"/>
              <w:right w:val="nil"/>
            </w:tcBorders>
            <w:vAlign w:val="center"/>
            <w:hideMark/>
          </w:tcPr>
          <w:p w14:paraId="0DA9DAF3"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713D5F1E"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0C781278"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w:t>
            </w:r>
          </w:p>
        </w:tc>
        <w:tc>
          <w:tcPr>
            <w:tcW w:w="1080" w:type="dxa"/>
            <w:tcBorders>
              <w:top w:val="nil"/>
              <w:left w:val="nil"/>
              <w:bottom w:val="single" w:sz="4" w:space="0" w:color="auto"/>
              <w:right w:val="single" w:sz="4" w:space="0" w:color="auto"/>
            </w:tcBorders>
            <w:shd w:val="clear" w:color="000000" w:fill="FFF2CC"/>
            <w:noWrap/>
            <w:vAlign w:val="center"/>
            <w:hideMark/>
          </w:tcPr>
          <w:p w14:paraId="756947D4"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70-100%</w:t>
            </w:r>
          </w:p>
        </w:tc>
        <w:tc>
          <w:tcPr>
            <w:tcW w:w="1440" w:type="dxa"/>
            <w:tcBorders>
              <w:top w:val="nil"/>
              <w:left w:val="nil"/>
              <w:bottom w:val="single" w:sz="4" w:space="0" w:color="auto"/>
              <w:right w:val="single" w:sz="8" w:space="0" w:color="auto"/>
            </w:tcBorders>
            <w:shd w:val="clear" w:color="000000" w:fill="FFF2CC"/>
            <w:noWrap/>
            <w:vAlign w:val="center"/>
            <w:hideMark/>
          </w:tcPr>
          <w:p w14:paraId="62F57FBB"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4</w:t>
            </w:r>
          </w:p>
        </w:tc>
        <w:tc>
          <w:tcPr>
            <w:tcW w:w="1530" w:type="dxa"/>
            <w:tcBorders>
              <w:top w:val="nil"/>
              <w:left w:val="nil"/>
              <w:bottom w:val="single" w:sz="4" w:space="0" w:color="auto"/>
              <w:right w:val="single" w:sz="4" w:space="0" w:color="auto"/>
            </w:tcBorders>
            <w:shd w:val="clear" w:color="000000" w:fill="FFE699"/>
            <w:noWrap/>
            <w:vAlign w:val="center"/>
            <w:hideMark/>
          </w:tcPr>
          <w:p w14:paraId="7F32228A"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High Pass</w:t>
            </w:r>
          </w:p>
        </w:tc>
        <w:tc>
          <w:tcPr>
            <w:tcW w:w="1296" w:type="dxa"/>
            <w:tcBorders>
              <w:top w:val="nil"/>
              <w:left w:val="nil"/>
              <w:bottom w:val="single" w:sz="4" w:space="0" w:color="auto"/>
              <w:right w:val="single" w:sz="4" w:space="0" w:color="auto"/>
            </w:tcBorders>
            <w:shd w:val="clear" w:color="000000" w:fill="FFE699"/>
            <w:vAlign w:val="center"/>
            <w:hideMark/>
          </w:tcPr>
          <w:p w14:paraId="416400C5"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Pass</w:t>
            </w:r>
          </w:p>
        </w:tc>
        <w:tc>
          <w:tcPr>
            <w:tcW w:w="1241" w:type="dxa"/>
            <w:tcBorders>
              <w:top w:val="nil"/>
              <w:left w:val="nil"/>
              <w:bottom w:val="single" w:sz="4" w:space="0" w:color="auto"/>
              <w:right w:val="nil"/>
            </w:tcBorders>
            <w:shd w:val="clear" w:color="000000" w:fill="FFE699"/>
            <w:vAlign w:val="center"/>
            <w:hideMark/>
          </w:tcPr>
          <w:p w14:paraId="347E4A20"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High Pass</w:t>
            </w:r>
          </w:p>
        </w:tc>
        <w:tc>
          <w:tcPr>
            <w:tcW w:w="883" w:type="dxa"/>
            <w:tcBorders>
              <w:top w:val="nil"/>
              <w:left w:val="single" w:sz="4" w:space="0" w:color="auto"/>
              <w:bottom w:val="single" w:sz="4" w:space="0" w:color="auto"/>
              <w:right w:val="nil"/>
            </w:tcBorders>
            <w:shd w:val="clear" w:color="000000" w:fill="FFE699"/>
            <w:vAlign w:val="center"/>
            <w:hideMark/>
          </w:tcPr>
          <w:p w14:paraId="6BEE8F2E"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3</w:t>
            </w:r>
          </w:p>
        </w:tc>
        <w:tc>
          <w:tcPr>
            <w:tcW w:w="1890" w:type="dxa"/>
            <w:gridSpan w:val="2"/>
            <w:vMerge/>
            <w:tcBorders>
              <w:top w:val="nil"/>
              <w:left w:val="single" w:sz="4" w:space="0" w:color="auto"/>
              <w:bottom w:val="single" w:sz="4" w:space="0" w:color="auto"/>
              <w:right w:val="nil"/>
            </w:tcBorders>
            <w:vAlign w:val="center"/>
            <w:hideMark/>
          </w:tcPr>
          <w:p w14:paraId="39F7C495"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004A10B5"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5A76FDAE"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P-R*</w:t>
            </w:r>
          </w:p>
        </w:tc>
        <w:tc>
          <w:tcPr>
            <w:tcW w:w="1080" w:type="dxa"/>
            <w:tcBorders>
              <w:top w:val="nil"/>
              <w:left w:val="nil"/>
              <w:bottom w:val="single" w:sz="4" w:space="0" w:color="auto"/>
              <w:right w:val="single" w:sz="4" w:space="0" w:color="auto"/>
            </w:tcBorders>
            <w:shd w:val="clear" w:color="000000" w:fill="FFF2CC"/>
            <w:noWrap/>
            <w:vAlign w:val="center"/>
            <w:hideMark/>
          </w:tcPr>
          <w:p w14:paraId="21EED8C0"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70%</w:t>
            </w:r>
          </w:p>
        </w:tc>
        <w:tc>
          <w:tcPr>
            <w:tcW w:w="1440" w:type="dxa"/>
            <w:tcBorders>
              <w:top w:val="nil"/>
              <w:left w:val="nil"/>
              <w:bottom w:val="single" w:sz="4" w:space="0" w:color="auto"/>
              <w:right w:val="single" w:sz="8" w:space="0" w:color="auto"/>
            </w:tcBorders>
            <w:shd w:val="clear" w:color="000000" w:fill="FFF2CC"/>
            <w:noWrap/>
            <w:vAlign w:val="center"/>
            <w:hideMark/>
          </w:tcPr>
          <w:p w14:paraId="62FDFDBD"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2</w:t>
            </w:r>
          </w:p>
        </w:tc>
        <w:tc>
          <w:tcPr>
            <w:tcW w:w="1530" w:type="dxa"/>
            <w:tcBorders>
              <w:top w:val="nil"/>
              <w:left w:val="nil"/>
              <w:bottom w:val="single" w:sz="4" w:space="0" w:color="auto"/>
              <w:right w:val="single" w:sz="4" w:space="0" w:color="auto"/>
            </w:tcBorders>
            <w:shd w:val="clear" w:color="000000" w:fill="FFE699"/>
            <w:noWrap/>
            <w:vAlign w:val="center"/>
            <w:hideMark/>
          </w:tcPr>
          <w:p w14:paraId="44FC1A25"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Pass</w:t>
            </w:r>
          </w:p>
        </w:tc>
        <w:tc>
          <w:tcPr>
            <w:tcW w:w="1296" w:type="dxa"/>
            <w:tcBorders>
              <w:top w:val="nil"/>
              <w:left w:val="nil"/>
              <w:bottom w:val="single" w:sz="4" w:space="0" w:color="auto"/>
              <w:right w:val="single" w:sz="4" w:space="0" w:color="auto"/>
            </w:tcBorders>
            <w:shd w:val="clear" w:color="000000" w:fill="FFE699"/>
            <w:vAlign w:val="center"/>
            <w:hideMark/>
          </w:tcPr>
          <w:p w14:paraId="1683D928"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Honors</w:t>
            </w:r>
          </w:p>
        </w:tc>
        <w:tc>
          <w:tcPr>
            <w:tcW w:w="1241" w:type="dxa"/>
            <w:tcBorders>
              <w:top w:val="nil"/>
              <w:left w:val="nil"/>
              <w:bottom w:val="single" w:sz="4" w:space="0" w:color="auto"/>
              <w:right w:val="nil"/>
            </w:tcBorders>
            <w:shd w:val="clear" w:color="000000" w:fill="FFE699"/>
            <w:vAlign w:val="center"/>
            <w:hideMark/>
          </w:tcPr>
          <w:p w14:paraId="5B2E9398"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High Pass</w:t>
            </w:r>
          </w:p>
        </w:tc>
        <w:tc>
          <w:tcPr>
            <w:tcW w:w="883" w:type="dxa"/>
            <w:tcBorders>
              <w:top w:val="nil"/>
              <w:left w:val="single" w:sz="4" w:space="0" w:color="auto"/>
              <w:bottom w:val="single" w:sz="4" w:space="0" w:color="auto"/>
              <w:right w:val="nil"/>
            </w:tcBorders>
            <w:shd w:val="clear" w:color="000000" w:fill="FFE699"/>
            <w:vAlign w:val="center"/>
            <w:hideMark/>
          </w:tcPr>
          <w:p w14:paraId="24E113AC"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3</w:t>
            </w:r>
          </w:p>
        </w:tc>
        <w:tc>
          <w:tcPr>
            <w:tcW w:w="1890" w:type="dxa"/>
            <w:gridSpan w:val="2"/>
            <w:vMerge/>
            <w:tcBorders>
              <w:top w:val="nil"/>
              <w:left w:val="single" w:sz="4" w:space="0" w:color="auto"/>
              <w:bottom w:val="single" w:sz="4" w:space="0" w:color="auto"/>
              <w:right w:val="nil"/>
            </w:tcBorders>
            <w:vAlign w:val="center"/>
            <w:hideMark/>
          </w:tcPr>
          <w:p w14:paraId="69BC8513"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153E445B" w14:textId="77777777" w:rsidTr="000D3470">
        <w:trPr>
          <w:trHeight w:val="140"/>
        </w:trPr>
        <w:tc>
          <w:tcPr>
            <w:tcW w:w="630" w:type="dxa"/>
            <w:tcBorders>
              <w:top w:val="nil"/>
              <w:left w:val="single" w:sz="8" w:space="0" w:color="auto"/>
              <w:bottom w:val="single" w:sz="4" w:space="0" w:color="auto"/>
              <w:right w:val="single" w:sz="4" w:space="0" w:color="auto"/>
            </w:tcBorders>
            <w:shd w:val="clear" w:color="000000" w:fill="FFF2CC"/>
            <w:noWrap/>
            <w:vAlign w:val="center"/>
            <w:hideMark/>
          </w:tcPr>
          <w:p w14:paraId="346FAB53" w14:textId="77777777" w:rsidR="000D3470" w:rsidRPr="000D3470" w:rsidRDefault="000D3470" w:rsidP="000D3470">
            <w:pPr>
              <w:spacing w:after="0" w:line="240" w:lineRule="auto"/>
              <w:jc w:val="center"/>
              <w:rPr>
                <w:rFonts w:ascii="Calibri" w:eastAsia="Times New Roman" w:hAnsi="Calibri" w:cs="Calibri"/>
                <w:color w:val="FF0000"/>
              </w:rPr>
            </w:pPr>
            <w:r w:rsidRPr="000D3470">
              <w:rPr>
                <w:rFonts w:ascii="Calibri" w:eastAsia="Times New Roman" w:hAnsi="Calibri" w:cs="Calibri"/>
                <w:color w:val="FF0000"/>
              </w:rPr>
              <w:t>F</w:t>
            </w:r>
          </w:p>
        </w:tc>
        <w:tc>
          <w:tcPr>
            <w:tcW w:w="1080" w:type="dxa"/>
            <w:tcBorders>
              <w:top w:val="nil"/>
              <w:left w:val="nil"/>
              <w:bottom w:val="single" w:sz="4" w:space="0" w:color="auto"/>
              <w:right w:val="single" w:sz="4" w:space="0" w:color="auto"/>
            </w:tcBorders>
            <w:shd w:val="clear" w:color="000000" w:fill="FFF2CC"/>
            <w:noWrap/>
            <w:vAlign w:val="center"/>
            <w:hideMark/>
          </w:tcPr>
          <w:p w14:paraId="3B0C5224" w14:textId="77777777" w:rsidR="000D3470" w:rsidRPr="000D3470" w:rsidRDefault="000D3470" w:rsidP="000D3470">
            <w:pPr>
              <w:spacing w:after="0" w:line="240" w:lineRule="auto"/>
              <w:jc w:val="center"/>
              <w:rPr>
                <w:rFonts w:ascii="Calibri" w:eastAsia="Times New Roman" w:hAnsi="Calibri" w:cs="Calibri"/>
                <w:color w:val="FF0000"/>
              </w:rPr>
            </w:pPr>
            <w:r w:rsidRPr="000D3470">
              <w:rPr>
                <w:rFonts w:ascii="Calibri" w:eastAsia="Times New Roman" w:hAnsi="Calibri" w:cs="Calibri"/>
                <w:color w:val="FF0000"/>
              </w:rPr>
              <w:t>&lt;70%</w:t>
            </w:r>
          </w:p>
        </w:tc>
        <w:tc>
          <w:tcPr>
            <w:tcW w:w="1440" w:type="dxa"/>
            <w:tcBorders>
              <w:top w:val="nil"/>
              <w:left w:val="nil"/>
              <w:bottom w:val="single" w:sz="4" w:space="0" w:color="auto"/>
              <w:right w:val="single" w:sz="8" w:space="0" w:color="auto"/>
            </w:tcBorders>
            <w:shd w:val="clear" w:color="000000" w:fill="FFF2CC"/>
            <w:noWrap/>
            <w:vAlign w:val="center"/>
            <w:hideMark/>
          </w:tcPr>
          <w:p w14:paraId="62B7FFC6" w14:textId="77777777" w:rsidR="000D3470" w:rsidRPr="000D3470" w:rsidRDefault="000D3470" w:rsidP="000D3470">
            <w:pPr>
              <w:spacing w:after="0" w:line="240" w:lineRule="auto"/>
              <w:jc w:val="center"/>
              <w:rPr>
                <w:rFonts w:ascii="Calibri" w:eastAsia="Times New Roman" w:hAnsi="Calibri" w:cs="Calibri"/>
                <w:b/>
                <w:bCs/>
                <w:color w:val="FF0000"/>
              </w:rPr>
            </w:pPr>
            <w:r w:rsidRPr="000D3470">
              <w:rPr>
                <w:rFonts w:ascii="Calibri" w:eastAsia="Times New Roman" w:hAnsi="Calibri" w:cs="Calibri"/>
                <w:b/>
                <w:bCs/>
                <w:color w:val="FF0000"/>
              </w:rPr>
              <w:t>0</w:t>
            </w:r>
          </w:p>
        </w:tc>
        <w:tc>
          <w:tcPr>
            <w:tcW w:w="1530" w:type="dxa"/>
            <w:tcBorders>
              <w:top w:val="nil"/>
              <w:left w:val="nil"/>
              <w:bottom w:val="single" w:sz="4" w:space="0" w:color="auto"/>
              <w:right w:val="single" w:sz="4" w:space="0" w:color="auto"/>
            </w:tcBorders>
            <w:shd w:val="clear" w:color="000000" w:fill="FFE699"/>
            <w:noWrap/>
            <w:vAlign w:val="center"/>
            <w:hideMark/>
          </w:tcPr>
          <w:p w14:paraId="47DC40D2"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Pass</w:t>
            </w:r>
          </w:p>
        </w:tc>
        <w:tc>
          <w:tcPr>
            <w:tcW w:w="1296" w:type="dxa"/>
            <w:tcBorders>
              <w:top w:val="nil"/>
              <w:left w:val="nil"/>
              <w:bottom w:val="single" w:sz="4" w:space="0" w:color="auto"/>
              <w:right w:val="single" w:sz="4" w:space="0" w:color="auto"/>
            </w:tcBorders>
            <w:shd w:val="clear" w:color="000000" w:fill="FFE699"/>
            <w:vAlign w:val="center"/>
            <w:hideMark/>
          </w:tcPr>
          <w:p w14:paraId="67AF95B9"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High Pass</w:t>
            </w:r>
          </w:p>
        </w:tc>
        <w:tc>
          <w:tcPr>
            <w:tcW w:w="1241" w:type="dxa"/>
            <w:tcBorders>
              <w:top w:val="nil"/>
              <w:left w:val="nil"/>
              <w:bottom w:val="single" w:sz="4" w:space="0" w:color="auto"/>
              <w:right w:val="nil"/>
            </w:tcBorders>
            <w:shd w:val="clear" w:color="000000" w:fill="FFE699"/>
            <w:vAlign w:val="center"/>
            <w:hideMark/>
          </w:tcPr>
          <w:p w14:paraId="560FC774"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High Pass</w:t>
            </w:r>
          </w:p>
        </w:tc>
        <w:tc>
          <w:tcPr>
            <w:tcW w:w="883" w:type="dxa"/>
            <w:tcBorders>
              <w:top w:val="nil"/>
              <w:left w:val="single" w:sz="4" w:space="0" w:color="auto"/>
              <w:bottom w:val="single" w:sz="4" w:space="0" w:color="auto"/>
              <w:right w:val="nil"/>
            </w:tcBorders>
            <w:shd w:val="clear" w:color="000000" w:fill="FFE699"/>
            <w:vAlign w:val="center"/>
            <w:hideMark/>
          </w:tcPr>
          <w:p w14:paraId="36638089"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3</w:t>
            </w:r>
          </w:p>
        </w:tc>
        <w:tc>
          <w:tcPr>
            <w:tcW w:w="1890" w:type="dxa"/>
            <w:gridSpan w:val="2"/>
            <w:vMerge/>
            <w:tcBorders>
              <w:top w:val="nil"/>
              <w:left w:val="single" w:sz="4" w:space="0" w:color="auto"/>
              <w:bottom w:val="single" w:sz="4" w:space="0" w:color="auto"/>
              <w:right w:val="nil"/>
            </w:tcBorders>
            <w:vAlign w:val="center"/>
            <w:hideMark/>
          </w:tcPr>
          <w:p w14:paraId="2246E7FB"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2354FE64" w14:textId="77777777" w:rsidTr="000D3470">
        <w:trPr>
          <w:trHeight w:val="140"/>
        </w:trPr>
        <w:tc>
          <w:tcPr>
            <w:tcW w:w="3150" w:type="dxa"/>
            <w:gridSpan w:val="3"/>
            <w:vMerge w:val="restart"/>
            <w:tcBorders>
              <w:top w:val="single" w:sz="4" w:space="0" w:color="auto"/>
              <w:left w:val="single" w:sz="8" w:space="0" w:color="auto"/>
              <w:bottom w:val="single" w:sz="8" w:space="0" w:color="000000"/>
              <w:right w:val="single" w:sz="8" w:space="0" w:color="000000"/>
            </w:tcBorders>
            <w:shd w:val="clear" w:color="000000" w:fill="8EA9DB"/>
            <w:noWrap/>
            <w:vAlign w:val="bottom"/>
            <w:hideMark/>
          </w:tcPr>
          <w:p w14:paraId="10D10511"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000000" w:fill="FFE699"/>
            <w:noWrap/>
            <w:vAlign w:val="center"/>
            <w:hideMark/>
          </w:tcPr>
          <w:p w14:paraId="3DBC24E2"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Pass</w:t>
            </w:r>
          </w:p>
        </w:tc>
        <w:tc>
          <w:tcPr>
            <w:tcW w:w="1296" w:type="dxa"/>
            <w:tcBorders>
              <w:top w:val="nil"/>
              <w:left w:val="nil"/>
              <w:bottom w:val="single" w:sz="4" w:space="0" w:color="auto"/>
              <w:right w:val="single" w:sz="4" w:space="0" w:color="auto"/>
            </w:tcBorders>
            <w:shd w:val="clear" w:color="000000" w:fill="FFE699"/>
            <w:vAlign w:val="center"/>
            <w:hideMark/>
          </w:tcPr>
          <w:p w14:paraId="75DFC56B"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Pass</w:t>
            </w:r>
          </w:p>
        </w:tc>
        <w:tc>
          <w:tcPr>
            <w:tcW w:w="1241" w:type="dxa"/>
            <w:tcBorders>
              <w:top w:val="nil"/>
              <w:left w:val="nil"/>
              <w:bottom w:val="single" w:sz="4" w:space="0" w:color="auto"/>
              <w:right w:val="nil"/>
            </w:tcBorders>
            <w:shd w:val="clear" w:color="000000" w:fill="FFE699"/>
            <w:vAlign w:val="center"/>
            <w:hideMark/>
          </w:tcPr>
          <w:p w14:paraId="24A5997A"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Pass</w:t>
            </w:r>
          </w:p>
        </w:tc>
        <w:tc>
          <w:tcPr>
            <w:tcW w:w="883" w:type="dxa"/>
            <w:tcBorders>
              <w:top w:val="nil"/>
              <w:left w:val="single" w:sz="4" w:space="0" w:color="auto"/>
              <w:bottom w:val="single" w:sz="4" w:space="0" w:color="auto"/>
              <w:right w:val="nil"/>
            </w:tcBorders>
            <w:shd w:val="clear" w:color="000000" w:fill="FFE699"/>
            <w:vAlign w:val="center"/>
            <w:hideMark/>
          </w:tcPr>
          <w:p w14:paraId="7FFD9DAE"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2</w:t>
            </w:r>
          </w:p>
        </w:tc>
        <w:tc>
          <w:tcPr>
            <w:tcW w:w="1890" w:type="dxa"/>
            <w:gridSpan w:val="2"/>
            <w:vMerge/>
            <w:tcBorders>
              <w:top w:val="nil"/>
              <w:left w:val="single" w:sz="4" w:space="0" w:color="auto"/>
              <w:bottom w:val="single" w:sz="4" w:space="0" w:color="auto"/>
              <w:right w:val="nil"/>
            </w:tcBorders>
            <w:vAlign w:val="center"/>
            <w:hideMark/>
          </w:tcPr>
          <w:p w14:paraId="3F971D8A"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14BE4DCC" w14:textId="77777777" w:rsidTr="000D3470">
        <w:trPr>
          <w:trHeight w:val="281"/>
        </w:trPr>
        <w:tc>
          <w:tcPr>
            <w:tcW w:w="3150" w:type="dxa"/>
            <w:gridSpan w:val="3"/>
            <w:vMerge/>
            <w:tcBorders>
              <w:top w:val="single" w:sz="4" w:space="0" w:color="auto"/>
              <w:left w:val="single" w:sz="8" w:space="0" w:color="auto"/>
              <w:bottom w:val="single" w:sz="8" w:space="0" w:color="000000"/>
              <w:right w:val="single" w:sz="8" w:space="0" w:color="000000"/>
            </w:tcBorders>
            <w:vAlign w:val="center"/>
            <w:hideMark/>
          </w:tcPr>
          <w:p w14:paraId="0EB01234" w14:textId="77777777" w:rsidR="000D3470" w:rsidRPr="000D3470" w:rsidRDefault="000D3470" w:rsidP="000D3470">
            <w:pPr>
              <w:spacing w:after="0" w:line="240" w:lineRule="auto"/>
              <w:rPr>
                <w:rFonts w:ascii="Calibri" w:eastAsia="Times New Roman" w:hAnsi="Calibri" w:cs="Calibri"/>
                <w:color w:val="000000"/>
              </w:rPr>
            </w:pPr>
          </w:p>
        </w:tc>
        <w:tc>
          <w:tcPr>
            <w:tcW w:w="1530" w:type="dxa"/>
            <w:tcBorders>
              <w:top w:val="nil"/>
              <w:left w:val="nil"/>
              <w:bottom w:val="single" w:sz="4" w:space="0" w:color="auto"/>
              <w:right w:val="single" w:sz="4" w:space="0" w:color="auto"/>
            </w:tcBorders>
            <w:shd w:val="clear" w:color="000000" w:fill="FFE699"/>
            <w:vAlign w:val="center"/>
            <w:hideMark/>
          </w:tcPr>
          <w:p w14:paraId="13B7207F"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H, HP, P, or R*</w:t>
            </w:r>
          </w:p>
        </w:tc>
        <w:tc>
          <w:tcPr>
            <w:tcW w:w="1296" w:type="dxa"/>
            <w:tcBorders>
              <w:top w:val="nil"/>
              <w:left w:val="nil"/>
              <w:bottom w:val="single" w:sz="4" w:space="0" w:color="auto"/>
              <w:right w:val="single" w:sz="4" w:space="0" w:color="auto"/>
            </w:tcBorders>
            <w:shd w:val="clear" w:color="000000" w:fill="FFE699"/>
            <w:vAlign w:val="center"/>
            <w:hideMark/>
          </w:tcPr>
          <w:p w14:paraId="7366662D" w14:textId="77777777" w:rsidR="000D3470" w:rsidRPr="000D3470" w:rsidRDefault="000D3470" w:rsidP="000D3470">
            <w:pPr>
              <w:spacing w:after="0" w:line="240" w:lineRule="auto"/>
              <w:jc w:val="center"/>
              <w:rPr>
                <w:rFonts w:ascii="Calibri" w:eastAsia="Times New Roman" w:hAnsi="Calibri" w:cs="Calibri"/>
                <w:color w:val="000000"/>
              </w:rPr>
            </w:pPr>
            <w:r w:rsidRPr="000D3470">
              <w:rPr>
                <w:rFonts w:ascii="Calibri" w:eastAsia="Times New Roman" w:hAnsi="Calibri" w:cs="Calibri"/>
                <w:color w:val="000000"/>
              </w:rPr>
              <w:t>R*</w:t>
            </w:r>
          </w:p>
        </w:tc>
        <w:tc>
          <w:tcPr>
            <w:tcW w:w="1241" w:type="dxa"/>
            <w:tcBorders>
              <w:top w:val="nil"/>
              <w:left w:val="nil"/>
              <w:bottom w:val="single" w:sz="4" w:space="0" w:color="auto"/>
              <w:right w:val="nil"/>
            </w:tcBorders>
            <w:shd w:val="clear" w:color="000000" w:fill="FFE699"/>
            <w:vAlign w:val="center"/>
            <w:hideMark/>
          </w:tcPr>
          <w:p w14:paraId="3A6AB579"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Pass R*</w:t>
            </w:r>
          </w:p>
        </w:tc>
        <w:tc>
          <w:tcPr>
            <w:tcW w:w="883" w:type="dxa"/>
            <w:tcBorders>
              <w:top w:val="nil"/>
              <w:left w:val="single" w:sz="4" w:space="0" w:color="auto"/>
              <w:bottom w:val="single" w:sz="4" w:space="0" w:color="auto"/>
              <w:right w:val="nil"/>
            </w:tcBorders>
            <w:shd w:val="clear" w:color="000000" w:fill="FFE699"/>
            <w:vAlign w:val="center"/>
            <w:hideMark/>
          </w:tcPr>
          <w:p w14:paraId="2AC0B6CE" w14:textId="77777777" w:rsidR="000D3470" w:rsidRPr="000D3470" w:rsidRDefault="000D3470" w:rsidP="000D3470">
            <w:pPr>
              <w:spacing w:after="0" w:line="240" w:lineRule="auto"/>
              <w:jc w:val="center"/>
              <w:rPr>
                <w:rFonts w:ascii="Calibri" w:eastAsia="Times New Roman" w:hAnsi="Calibri" w:cs="Calibri"/>
                <w:b/>
                <w:bCs/>
                <w:color w:val="000000"/>
              </w:rPr>
            </w:pPr>
            <w:r w:rsidRPr="000D3470">
              <w:rPr>
                <w:rFonts w:ascii="Calibri" w:eastAsia="Times New Roman" w:hAnsi="Calibri" w:cs="Calibri"/>
                <w:b/>
                <w:bCs/>
                <w:color w:val="000000"/>
              </w:rPr>
              <w:t>2</w:t>
            </w:r>
          </w:p>
        </w:tc>
        <w:tc>
          <w:tcPr>
            <w:tcW w:w="1890" w:type="dxa"/>
            <w:gridSpan w:val="2"/>
            <w:vMerge/>
            <w:tcBorders>
              <w:top w:val="nil"/>
              <w:left w:val="single" w:sz="4" w:space="0" w:color="auto"/>
              <w:bottom w:val="single" w:sz="4" w:space="0" w:color="auto"/>
              <w:right w:val="nil"/>
            </w:tcBorders>
            <w:vAlign w:val="center"/>
            <w:hideMark/>
          </w:tcPr>
          <w:p w14:paraId="3E31BA21" w14:textId="77777777" w:rsidR="000D3470" w:rsidRPr="000D3470" w:rsidRDefault="000D3470" w:rsidP="000D3470">
            <w:pPr>
              <w:spacing w:after="0" w:line="240" w:lineRule="auto"/>
              <w:rPr>
                <w:rFonts w:ascii="Calibri" w:eastAsia="Times New Roman" w:hAnsi="Calibri" w:cs="Calibri"/>
                <w:color w:val="000000"/>
              </w:rPr>
            </w:pPr>
          </w:p>
        </w:tc>
      </w:tr>
      <w:tr w:rsidR="000D3470" w:rsidRPr="000D3470" w14:paraId="218B2BD0" w14:textId="77777777" w:rsidTr="000D3470">
        <w:trPr>
          <w:trHeight w:val="147"/>
        </w:trPr>
        <w:tc>
          <w:tcPr>
            <w:tcW w:w="3150" w:type="dxa"/>
            <w:gridSpan w:val="3"/>
            <w:vMerge/>
            <w:tcBorders>
              <w:top w:val="single" w:sz="4" w:space="0" w:color="auto"/>
              <w:left w:val="single" w:sz="8" w:space="0" w:color="auto"/>
              <w:bottom w:val="single" w:sz="8" w:space="0" w:color="000000"/>
              <w:right w:val="single" w:sz="8" w:space="0" w:color="000000"/>
            </w:tcBorders>
            <w:vAlign w:val="center"/>
            <w:hideMark/>
          </w:tcPr>
          <w:p w14:paraId="63BB3B5D" w14:textId="77777777" w:rsidR="000D3470" w:rsidRPr="000D3470" w:rsidRDefault="000D3470" w:rsidP="000D3470">
            <w:pPr>
              <w:spacing w:after="0" w:line="240" w:lineRule="auto"/>
              <w:rPr>
                <w:rFonts w:ascii="Calibri" w:eastAsia="Times New Roman" w:hAnsi="Calibri" w:cs="Calibri"/>
                <w:color w:val="000000"/>
              </w:rPr>
            </w:pPr>
          </w:p>
        </w:tc>
        <w:tc>
          <w:tcPr>
            <w:tcW w:w="4950" w:type="dxa"/>
            <w:gridSpan w:val="4"/>
            <w:tcBorders>
              <w:top w:val="single" w:sz="4" w:space="0" w:color="auto"/>
              <w:left w:val="nil"/>
              <w:bottom w:val="single" w:sz="8" w:space="0" w:color="auto"/>
              <w:right w:val="nil"/>
            </w:tcBorders>
            <w:shd w:val="clear" w:color="000000" w:fill="FFE699"/>
            <w:noWrap/>
            <w:vAlign w:val="center"/>
            <w:hideMark/>
          </w:tcPr>
          <w:p w14:paraId="20E137BA" w14:textId="77777777" w:rsidR="000D3470" w:rsidRPr="000D3470" w:rsidRDefault="000D3470" w:rsidP="000D3470">
            <w:pPr>
              <w:spacing w:after="0" w:line="240" w:lineRule="auto"/>
              <w:jc w:val="center"/>
              <w:rPr>
                <w:rFonts w:ascii="Calibri" w:eastAsia="Times New Roman" w:hAnsi="Calibri" w:cs="Calibri"/>
                <w:b/>
                <w:bCs/>
                <w:color w:val="FF0000"/>
              </w:rPr>
            </w:pPr>
            <w:r w:rsidRPr="000D3470">
              <w:rPr>
                <w:rFonts w:ascii="Calibri" w:eastAsia="Times New Roman" w:hAnsi="Calibri" w:cs="Calibri"/>
                <w:b/>
                <w:bCs/>
                <w:color w:val="FF0000"/>
              </w:rPr>
              <w:t xml:space="preserve">Fail </w:t>
            </w:r>
          </w:p>
        </w:tc>
        <w:tc>
          <w:tcPr>
            <w:tcW w:w="1890" w:type="dxa"/>
            <w:gridSpan w:val="2"/>
            <w:vMerge/>
            <w:tcBorders>
              <w:top w:val="nil"/>
              <w:left w:val="single" w:sz="4" w:space="0" w:color="auto"/>
              <w:bottom w:val="single" w:sz="4" w:space="0" w:color="auto"/>
              <w:right w:val="nil"/>
            </w:tcBorders>
            <w:vAlign w:val="center"/>
            <w:hideMark/>
          </w:tcPr>
          <w:p w14:paraId="7B23A558" w14:textId="77777777" w:rsidR="000D3470" w:rsidRPr="000D3470" w:rsidRDefault="000D3470" w:rsidP="000D3470">
            <w:pPr>
              <w:spacing w:after="0" w:line="240" w:lineRule="auto"/>
              <w:rPr>
                <w:rFonts w:ascii="Calibri" w:eastAsia="Times New Roman" w:hAnsi="Calibri" w:cs="Calibri"/>
                <w:color w:val="000000"/>
              </w:rPr>
            </w:pPr>
          </w:p>
        </w:tc>
      </w:tr>
    </w:tbl>
    <w:p w14:paraId="26847C58" w14:textId="77777777" w:rsidR="008772FF" w:rsidRDefault="008772FF" w:rsidP="007E2486">
      <w:pPr>
        <w:widowControl w:val="0"/>
        <w:autoSpaceDE w:val="0"/>
        <w:autoSpaceDN w:val="0"/>
        <w:spacing w:after="0" w:line="240" w:lineRule="auto"/>
        <w:ind w:right="86"/>
        <w:jc w:val="both"/>
        <w:rPr>
          <w:rFonts w:cstheme="minorHAnsi"/>
          <w:bCs/>
          <w:sz w:val="24"/>
          <w:szCs w:val="24"/>
        </w:rPr>
      </w:pPr>
    </w:p>
    <w:p w14:paraId="0B75C53C" w14:textId="77777777" w:rsidR="008772FF" w:rsidRPr="008772FF" w:rsidRDefault="008772FF" w:rsidP="008772FF">
      <w:pPr>
        <w:pStyle w:val="ListParagraph"/>
        <w:widowControl w:val="0"/>
        <w:numPr>
          <w:ilvl w:val="0"/>
          <w:numId w:val="8"/>
        </w:numPr>
        <w:autoSpaceDE w:val="0"/>
        <w:autoSpaceDN w:val="0"/>
        <w:spacing w:after="0" w:line="240" w:lineRule="auto"/>
        <w:ind w:right="86"/>
        <w:jc w:val="both"/>
        <w:rPr>
          <w:rFonts w:cstheme="minorHAnsi"/>
          <w:bCs/>
          <w:sz w:val="24"/>
          <w:szCs w:val="24"/>
        </w:rPr>
      </w:pPr>
      <w:r w:rsidRPr="008772FF">
        <w:rPr>
          <w:rFonts w:cstheme="minorHAnsi"/>
          <w:bCs/>
          <w:sz w:val="24"/>
          <w:szCs w:val="24"/>
        </w:rPr>
        <w:t>The maximum percentage earned in any course cannot exceed 100%.</w:t>
      </w:r>
    </w:p>
    <w:p w14:paraId="401C4977" w14:textId="77777777" w:rsidR="008772FF" w:rsidRPr="008772FF" w:rsidRDefault="008772FF" w:rsidP="008772FF">
      <w:pPr>
        <w:pStyle w:val="ListParagraph"/>
        <w:widowControl w:val="0"/>
        <w:numPr>
          <w:ilvl w:val="0"/>
          <w:numId w:val="8"/>
        </w:numPr>
        <w:autoSpaceDE w:val="0"/>
        <w:autoSpaceDN w:val="0"/>
        <w:spacing w:after="0" w:line="240" w:lineRule="auto"/>
        <w:ind w:right="86"/>
        <w:jc w:val="both"/>
        <w:rPr>
          <w:rFonts w:cstheme="minorHAnsi"/>
          <w:bCs/>
          <w:sz w:val="24"/>
          <w:szCs w:val="24"/>
        </w:rPr>
      </w:pPr>
      <w:r w:rsidRPr="008772FF">
        <w:rPr>
          <w:rFonts w:cstheme="minorHAnsi"/>
          <w:bCs/>
          <w:sz w:val="24"/>
          <w:szCs w:val="24"/>
        </w:rPr>
        <w:t>Percentage grades are rounded to the nearest percentage from 0.5 upwards.</w:t>
      </w:r>
    </w:p>
    <w:p w14:paraId="183B3CB0" w14:textId="77777777" w:rsidR="008772FF" w:rsidRPr="008772FF" w:rsidRDefault="008772FF" w:rsidP="008772FF">
      <w:pPr>
        <w:pStyle w:val="ListParagraph"/>
        <w:widowControl w:val="0"/>
        <w:autoSpaceDE w:val="0"/>
        <w:autoSpaceDN w:val="0"/>
        <w:spacing w:after="0" w:line="240" w:lineRule="auto"/>
        <w:ind w:right="86"/>
        <w:jc w:val="both"/>
        <w:rPr>
          <w:rFonts w:cstheme="minorHAnsi"/>
          <w:bCs/>
          <w:sz w:val="24"/>
          <w:szCs w:val="24"/>
        </w:rPr>
      </w:pPr>
      <w:r w:rsidRPr="008772FF">
        <w:rPr>
          <w:rFonts w:cstheme="minorHAnsi"/>
          <w:bCs/>
          <w:sz w:val="24"/>
          <w:szCs w:val="24"/>
        </w:rPr>
        <w:t>(e.g., 89.50% - 90.49% = 90%, whereas 88.50% - 89.49% = 89%).</w:t>
      </w:r>
    </w:p>
    <w:p w14:paraId="3393F957" w14:textId="331A0A9A" w:rsidR="008772FF" w:rsidRPr="008772FF" w:rsidRDefault="008772FF" w:rsidP="008772FF">
      <w:pPr>
        <w:pStyle w:val="ListParagraph"/>
        <w:widowControl w:val="0"/>
        <w:numPr>
          <w:ilvl w:val="0"/>
          <w:numId w:val="8"/>
        </w:numPr>
        <w:autoSpaceDE w:val="0"/>
        <w:autoSpaceDN w:val="0"/>
        <w:spacing w:after="0" w:line="240" w:lineRule="auto"/>
        <w:ind w:right="86"/>
        <w:jc w:val="both"/>
        <w:rPr>
          <w:rFonts w:cstheme="minorHAnsi"/>
          <w:bCs/>
          <w:sz w:val="24"/>
          <w:szCs w:val="24"/>
        </w:rPr>
      </w:pPr>
      <w:r w:rsidRPr="008772FF">
        <w:rPr>
          <w:rFonts w:cstheme="minorHAnsi"/>
          <w:bCs/>
          <w:sz w:val="24"/>
          <w:szCs w:val="24"/>
        </w:rPr>
        <w:t>H designates honors; HP designates high pass; P designates a passing grade, F designates a failing grade in a pass/fail course.</w:t>
      </w:r>
    </w:p>
    <w:p w14:paraId="4ED14A6F" w14:textId="72792FC4" w:rsidR="008772FF" w:rsidRPr="008772FF" w:rsidRDefault="008772FF" w:rsidP="008772FF">
      <w:pPr>
        <w:pStyle w:val="ListParagraph"/>
        <w:widowControl w:val="0"/>
        <w:numPr>
          <w:ilvl w:val="0"/>
          <w:numId w:val="8"/>
        </w:numPr>
        <w:autoSpaceDE w:val="0"/>
        <w:autoSpaceDN w:val="0"/>
        <w:spacing w:after="0" w:line="240" w:lineRule="auto"/>
        <w:ind w:right="86"/>
        <w:jc w:val="both"/>
        <w:rPr>
          <w:rFonts w:cstheme="minorHAnsi"/>
          <w:bCs/>
          <w:sz w:val="24"/>
          <w:szCs w:val="24"/>
        </w:rPr>
      </w:pPr>
      <w:r w:rsidRPr="008772FF">
        <w:rPr>
          <w:rFonts w:cstheme="minorHAnsi"/>
          <w:bCs/>
          <w:sz w:val="24"/>
          <w:szCs w:val="24"/>
        </w:rPr>
        <w:t>R* designates</w:t>
      </w:r>
      <w:r w:rsidR="007E2486">
        <w:rPr>
          <w:rFonts w:cstheme="minorHAnsi"/>
          <w:bCs/>
          <w:sz w:val="24"/>
          <w:szCs w:val="24"/>
        </w:rPr>
        <w:t xml:space="preserve"> a course or rotation passed after successful</w:t>
      </w:r>
      <w:r w:rsidRPr="008772FF">
        <w:rPr>
          <w:rFonts w:cstheme="minorHAnsi"/>
          <w:bCs/>
          <w:sz w:val="24"/>
          <w:szCs w:val="24"/>
        </w:rPr>
        <w:t xml:space="preserve"> </w:t>
      </w:r>
      <w:r w:rsidR="007E2486">
        <w:rPr>
          <w:rFonts w:cstheme="minorHAnsi"/>
          <w:bCs/>
          <w:sz w:val="24"/>
          <w:szCs w:val="24"/>
        </w:rPr>
        <w:t>remediation of an initial failure</w:t>
      </w:r>
      <w:r w:rsidRPr="008772FF">
        <w:rPr>
          <w:rFonts w:cstheme="minorHAnsi"/>
          <w:bCs/>
          <w:sz w:val="24"/>
          <w:szCs w:val="24"/>
        </w:rPr>
        <w:t>.</w:t>
      </w:r>
    </w:p>
    <w:p w14:paraId="10421FC8" w14:textId="77777777" w:rsidR="009D46A3" w:rsidRPr="0075392F" w:rsidRDefault="009D46A3" w:rsidP="009D46A3">
      <w:pPr>
        <w:widowControl w:val="0"/>
        <w:autoSpaceDE w:val="0"/>
        <w:autoSpaceDN w:val="0"/>
        <w:spacing w:after="0" w:line="240" w:lineRule="auto"/>
        <w:ind w:left="360" w:right="86"/>
        <w:jc w:val="both"/>
        <w:rPr>
          <w:rFonts w:cstheme="minorHAnsi"/>
          <w:bCs/>
          <w:sz w:val="24"/>
          <w:szCs w:val="24"/>
        </w:rPr>
      </w:pPr>
    </w:p>
    <w:p w14:paraId="53C9F0DB" w14:textId="77777777" w:rsidR="009D46A3" w:rsidRDefault="009D46A3" w:rsidP="009D46A3">
      <w:pPr>
        <w:widowControl w:val="0"/>
        <w:autoSpaceDE w:val="0"/>
        <w:autoSpaceDN w:val="0"/>
        <w:spacing w:after="0" w:line="240" w:lineRule="auto"/>
        <w:ind w:left="360" w:right="90"/>
        <w:jc w:val="both"/>
        <w:rPr>
          <w:rFonts w:cstheme="minorHAnsi"/>
          <w:sz w:val="24"/>
          <w:szCs w:val="24"/>
        </w:rPr>
      </w:pPr>
      <w:r w:rsidRPr="00B83D0C">
        <w:rPr>
          <w:rFonts w:cstheme="minorHAnsi"/>
          <w:b/>
          <w:bCs/>
          <w:sz w:val="24"/>
          <w:szCs w:val="24"/>
        </w:rPr>
        <w:t>Incomplete</w:t>
      </w:r>
      <w:r>
        <w:rPr>
          <w:rFonts w:cstheme="minorHAnsi"/>
          <w:b/>
          <w:bCs/>
          <w:sz w:val="24"/>
          <w:szCs w:val="24"/>
        </w:rPr>
        <w:t>:</w:t>
      </w:r>
      <w:r>
        <w:rPr>
          <w:rFonts w:cstheme="minorHAnsi"/>
          <w:bCs/>
          <w:sz w:val="24"/>
          <w:szCs w:val="24"/>
        </w:rPr>
        <w:t xml:space="preserve"> an incomplete</w:t>
      </w:r>
      <w:r w:rsidRPr="00B83D0C">
        <w:rPr>
          <w:rFonts w:cstheme="minorHAnsi"/>
          <w:b/>
          <w:bCs/>
          <w:sz w:val="24"/>
          <w:szCs w:val="24"/>
        </w:rPr>
        <w:t xml:space="preserve"> </w:t>
      </w:r>
      <w:r w:rsidRPr="00B83D0C">
        <w:rPr>
          <w:rFonts w:cstheme="minorHAnsi"/>
          <w:bCs/>
          <w:sz w:val="24"/>
          <w:szCs w:val="24"/>
        </w:rPr>
        <w:t>is t</w:t>
      </w:r>
      <w:r w:rsidRPr="00B83D0C">
        <w:rPr>
          <w:rFonts w:cstheme="minorHAnsi"/>
          <w:sz w:val="24"/>
          <w:szCs w:val="24"/>
        </w:rPr>
        <w:t xml:space="preserve">he grade </w:t>
      </w:r>
      <w:r w:rsidRPr="00B83D0C">
        <w:rPr>
          <w:rFonts w:eastAsia="Calibri" w:cstheme="minorHAnsi"/>
          <w:sz w:val="24"/>
          <w:szCs w:val="24"/>
        </w:rPr>
        <w:t>given when there are extenuating circumstances that prevent the student from completing all course requirements.</w:t>
      </w:r>
      <w:r w:rsidRPr="00B83D0C">
        <w:rPr>
          <w:rFonts w:cstheme="minorHAnsi"/>
          <w:sz w:val="24"/>
          <w:szCs w:val="24"/>
        </w:rPr>
        <w:t xml:space="preserve">  An incomplete grade can only be assigned with permission from the appropriate Associate Dean.  Incomplete grades must be resolved </w:t>
      </w:r>
      <w:r>
        <w:rPr>
          <w:rFonts w:cstheme="minorHAnsi"/>
          <w:sz w:val="24"/>
          <w:szCs w:val="24"/>
        </w:rPr>
        <w:t xml:space="preserve">prior to the first day of the next semester </w:t>
      </w:r>
      <w:r w:rsidRPr="00B83D0C">
        <w:rPr>
          <w:rFonts w:cstheme="minorHAnsi"/>
          <w:sz w:val="24"/>
          <w:szCs w:val="24"/>
        </w:rPr>
        <w:t xml:space="preserve">or the Incomplete </w:t>
      </w:r>
      <w:r>
        <w:rPr>
          <w:rFonts w:cstheme="minorHAnsi"/>
          <w:sz w:val="24"/>
          <w:szCs w:val="24"/>
        </w:rPr>
        <w:t xml:space="preserve">grade </w:t>
      </w:r>
      <w:r w:rsidRPr="00B83D0C">
        <w:rPr>
          <w:rFonts w:cstheme="minorHAnsi"/>
          <w:sz w:val="24"/>
          <w:szCs w:val="24"/>
        </w:rPr>
        <w:t xml:space="preserve">automatically becomes a failing grade. </w:t>
      </w:r>
    </w:p>
    <w:p w14:paraId="0529DA0E" w14:textId="77777777" w:rsidR="009D46A3" w:rsidRPr="00B83D0C" w:rsidRDefault="009D46A3" w:rsidP="009D46A3">
      <w:pPr>
        <w:widowControl w:val="0"/>
        <w:autoSpaceDE w:val="0"/>
        <w:autoSpaceDN w:val="0"/>
        <w:spacing w:after="0" w:line="240" w:lineRule="auto"/>
        <w:ind w:left="360" w:right="90"/>
        <w:jc w:val="both"/>
        <w:rPr>
          <w:rFonts w:cstheme="minorHAnsi"/>
          <w:sz w:val="24"/>
          <w:szCs w:val="24"/>
        </w:rPr>
      </w:pPr>
    </w:p>
    <w:p w14:paraId="319EEC0E" w14:textId="644313AB" w:rsidR="009D46A3" w:rsidRDefault="009D46A3" w:rsidP="009D46A3">
      <w:pPr>
        <w:pStyle w:val="Heading9"/>
        <w:ind w:left="360"/>
        <w:jc w:val="both"/>
        <w:rPr>
          <w:rFonts w:asciiTheme="minorHAnsi" w:hAnsiTheme="minorHAnsi" w:cstheme="minorHAnsi"/>
          <w:b w:val="0"/>
        </w:rPr>
      </w:pPr>
      <w:r>
        <w:rPr>
          <w:rFonts w:asciiTheme="minorHAnsi" w:hAnsiTheme="minorHAnsi" w:cstheme="minorHAnsi"/>
        </w:rPr>
        <w:t>GPA and Class Rank:</w:t>
      </w:r>
      <w:r>
        <w:rPr>
          <w:rFonts w:asciiTheme="minorHAnsi" w:hAnsiTheme="minorHAnsi" w:cstheme="minorHAnsi"/>
          <w:b w:val="0"/>
        </w:rPr>
        <w:t xml:space="preserve"> T</w:t>
      </w:r>
      <w:r w:rsidRPr="00B83D0C">
        <w:rPr>
          <w:rFonts w:asciiTheme="minorHAnsi" w:hAnsiTheme="minorHAnsi" w:cstheme="minorHAnsi"/>
          <w:b w:val="0"/>
        </w:rPr>
        <w:t xml:space="preserve">he student’s grade point average (GPA) is </w:t>
      </w:r>
      <w:r>
        <w:rPr>
          <w:rFonts w:asciiTheme="minorHAnsi" w:hAnsiTheme="minorHAnsi" w:cstheme="minorHAnsi"/>
          <w:b w:val="0"/>
        </w:rPr>
        <w:t>measured on a scale from 0-4.0; it is the cumulative average of the grades in all subjects and is calculated by dividing the total amount of grade points earned by the total amount of credit hours attempted</w:t>
      </w:r>
      <w:r w:rsidRPr="00B83D0C">
        <w:rPr>
          <w:rFonts w:asciiTheme="minorHAnsi" w:hAnsiTheme="minorHAnsi" w:cstheme="minorHAnsi"/>
          <w:b w:val="0"/>
        </w:rPr>
        <w:t xml:space="preserve">. </w:t>
      </w:r>
      <w:r>
        <w:rPr>
          <w:rFonts w:asciiTheme="minorHAnsi" w:hAnsiTheme="minorHAnsi" w:cstheme="minorHAnsi"/>
          <w:b w:val="0"/>
        </w:rPr>
        <w:t>Additionally, percentage points per course will be recorded and in the event of multiple students with the same GPA, percentage points will be utilized to determine class rank.</w:t>
      </w:r>
    </w:p>
    <w:p w14:paraId="38D2ABEE" w14:textId="77777777" w:rsidR="009D46A3" w:rsidRPr="00B83D0C" w:rsidRDefault="009D46A3" w:rsidP="009D46A3">
      <w:pPr>
        <w:pStyle w:val="Heading9"/>
        <w:ind w:left="360"/>
        <w:jc w:val="both"/>
        <w:rPr>
          <w:rFonts w:asciiTheme="minorHAnsi" w:hAnsiTheme="minorHAnsi" w:cstheme="minorHAnsi"/>
          <w:b w:val="0"/>
        </w:rPr>
      </w:pPr>
    </w:p>
    <w:p w14:paraId="051A90F2" w14:textId="77777777" w:rsidR="009D46A3" w:rsidRPr="00B83D0C" w:rsidRDefault="009D46A3" w:rsidP="009D46A3">
      <w:pPr>
        <w:pStyle w:val="BodyText"/>
        <w:numPr>
          <w:ilvl w:val="0"/>
          <w:numId w:val="6"/>
        </w:numPr>
        <w:spacing w:before="55" w:after="160"/>
        <w:ind w:left="360"/>
        <w:jc w:val="both"/>
        <w:rPr>
          <w:rFonts w:asciiTheme="minorHAnsi" w:hAnsiTheme="minorHAnsi" w:cstheme="minorHAnsi"/>
          <w:b/>
        </w:rPr>
      </w:pPr>
      <w:r w:rsidRPr="00B83D0C">
        <w:rPr>
          <w:rFonts w:asciiTheme="minorHAnsi" w:hAnsiTheme="minorHAnsi" w:cstheme="minorHAnsi"/>
          <w:b/>
        </w:rPr>
        <w:t>CLASS ATTENDANCE:</w:t>
      </w:r>
    </w:p>
    <w:p w14:paraId="67375254" w14:textId="77777777" w:rsidR="009D46A3" w:rsidRDefault="009D46A3" w:rsidP="009D46A3">
      <w:pPr>
        <w:pStyle w:val="BodyText"/>
        <w:spacing w:before="55" w:after="160"/>
        <w:ind w:left="720"/>
        <w:jc w:val="both"/>
        <w:rPr>
          <w:rFonts w:asciiTheme="minorHAnsi" w:hAnsiTheme="minorHAnsi" w:cstheme="minorHAnsi"/>
        </w:rPr>
      </w:pPr>
      <w:r w:rsidRPr="00B83D0C">
        <w:rPr>
          <w:rFonts w:asciiTheme="minorHAnsi" w:hAnsiTheme="minorHAnsi" w:cstheme="minorHAnsi"/>
        </w:rPr>
        <w:t>The COM provides a curriculum that employs a variety of learning modalities in the training of future physician</w:t>
      </w:r>
      <w:r>
        <w:rPr>
          <w:rFonts w:asciiTheme="minorHAnsi" w:hAnsiTheme="minorHAnsi" w:cstheme="minorHAnsi"/>
        </w:rPr>
        <w:t>s</w:t>
      </w:r>
      <w:r w:rsidRPr="00B83D0C">
        <w:rPr>
          <w:rFonts w:asciiTheme="minorHAnsi" w:hAnsiTheme="minorHAnsi" w:cstheme="minorHAnsi"/>
        </w:rPr>
        <w:t>. These modalities include but are not limited to lectures, laboratories, team-based learning, clinical application sessions, skills development exercises, group learning, and simulations. Because good attendance is a significant component of professionalism and is a critical component of the practice of medicine,</w:t>
      </w:r>
      <w:r>
        <w:rPr>
          <w:rFonts w:asciiTheme="minorHAnsi" w:hAnsiTheme="minorHAnsi" w:cstheme="minorHAnsi"/>
        </w:rPr>
        <w:t xml:space="preserve"> COM</w:t>
      </w:r>
      <w:r w:rsidRPr="00B83D0C">
        <w:rPr>
          <w:rFonts w:asciiTheme="minorHAnsi" w:hAnsiTheme="minorHAnsi" w:cstheme="minorHAnsi"/>
        </w:rPr>
        <w:t xml:space="preserve"> students are expected to attend all aspects of the </w:t>
      </w:r>
      <w:r>
        <w:rPr>
          <w:rFonts w:asciiTheme="minorHAnsi" w:hAnsiTheme="minorHAnsi" w:cstheme="minorHAnsi"/>
        </w:rPr>
        <w:t xml:space="preserve">provided </w:t>
      </w:r>
      <w:r w:rsidRPr="00B83D0C">
        <w:rPr>
          <w:rFonts w:asciiTheme="minorHAnsi" w:hAnsiTheme="minorHAnsi" w:cstheme="minorHAnsi"/>
        </w:rPr>
        <w:t>educational content</w:t>
      </w:r>
      <w:r>
        <w:rPr>
          <w:rFonts w:asciiTheme="minorHAnsi" w:hAnsiTheme="minorHAnsi" w:cstheme="minorHAnsi"/>
        </w:rPr>
        <w:t>.</w:t>
      </w:r>
      <w:r w:rsidRPr="00B83D0C">
        <w:rPr>
          <w:rFonts w:asciiTheme="minorHAnsi" w:hAnsiTheme="minorHAnsi" w:cstheme="minorHAnsi"/>
        </w:rPr>
        <w:t xml:space="preserve"> </w:t>
      </w:r>
      <w:r>
        <w:rPr>
          <w:rFonts w:asciiTheme="minorHAnsi" w:hAnsiTheme="minorHAnsi" w:cstheme="minorHAnsi"/>
        </w:rPr>
        <w:t>Minimum attendance requirements per year are as follows:</w:t>
      </w:r>
    </w:p>
    <w:p w14:paraId="505E461E" w14:textId="77777777" w:rsidR="009D46A3" w:rsidRDefault="009D46A3" w:rsidP="009D46A3">
      <w:pPr>
        <w:pStyle w:val="BodyText"/>
        <w:numPr>
          <w:ilvl w:val="0"/>
          <w:numId w:val="7"/>
        </w:numPr>
        <w:spacing w:before="55" w:after="160"/>
        <w:jc w:val="both"/>
        <w:rPr>
          <w:rFonts w:asciiTheme="minorHAnsi" w:hAnsiTheme="minorHAnsi" w:cstheme="minorHAnsi"/>
        </w:rPr>
      </w:pPr>
      <w:r>
        <w:rPr>
          <w:rFonts w:asciiTheme="minorHAnsi" w:hAnsiTheme="minorHAnsi" w:cstheme="minorHAnsi"/>
        </w:rPr>
        <w:t>MS 1 and MS 2 students must maintain</w:t>
      </w:r>
      <w:r w:rsidRPr="00B83D0C">
        <w:rPr>
          <w:rFonts w:asciiTheme="minorHAnsi" w:hAnsiTheme="minorHAnsi" w:cstheme="minorHAnsi"/>
        </w:rPr>
        <w:t xml:space="preserve"> a minimum required attendance of 80% of all lectures in each </w:t>
      </w:r>
      <w:r>
        <w:rPr>
          <w:rFonts w:asciiTheme="minorHAnsi" w:hAnsiTheme="minorHAnsi" w:cstheme="minorHAnsi"/>
        </w:rPr>
        <w:t>course</w:t>
      </w:r>
      <w:r w:rsidRPr="00B83D0C">
        <w:rPr>
          <w:rFonts w:asciiTheme="minorHAnsi" w:hAnsiTheme="minorHAnsi" w:cstheme="minorHAnsi"/>
        </w:rPr>
        <w:t xml:space="preserve">, and 100% attendance </w:t>
      </w:r>
      <w:r>
        <w:rPr>
          <w:rFonts w:asciiTheme="minorHAnsi" w:hAnsiTheme="minorHAnsi" w:cstheme="minorHAnsi"/>
        </w:rPr>
        <w:t>for</w:t>
      </w:r>
      <w:r w:rsidRPr="00B83D0C">
        <w:rPr>
          <w:rFonts w:asciiTheme="minorHAnsi" w:hAnsiTheme="minorHAnsi" w:cstheme="minorHAnsi"/>
        </w:rPr>
        <w:t xml:space="preserve"> all laborator</w:t>
      </w:r>
      <w:r>
        <w:rPr>
          <w:rFonts w:asciiTheme="minorHAnsi" w:hAnsiTheme="minorHAnsi" w:cstheme="minorHAnsi"/>
        </w:rPr>
        <w:t>y sessions</w:t>
      </w:r>
      <w:r w:rsidRPr="00B83D0C">
        <w:rPr>
          <w:rFonts w:asciiTheme="minorHAnsi" w:hAnsiTheme="minorHAnsi" w:cstheme="minorHAnsi"/>
        </w:rPr>
        <w:t>, group- and team-based learning activities, clinical skills and clinical application sessions, simulations and testing.</w:t>
      </w:r>
      <w:r>
        <w:rPr>
          <w:rFonts w:asciiTheme="minorHAnsi" w:hAnsiTheme="minorHAnsi" w:cstheme="minorHAnsi"/>
        </w:rPr>
        <w:t xml:space="preserve">  </w:t>
      </w:r>
    </w:p>
    <w:p w14:paraId="4BB4D26D" w14:textId="77777777" w:rsidR="009D46A3" w:rsidRDefault="009D46A3" w:rsidP="009D46A3">
      <w:pPr>
        <w:pStyle w:val="BodyText"/>
        <w:numPr>
          <w:ilvl w:val="0"/>
          <w:numId w:val="7"/>
        </w:numPr>
        <w:spacing w:before="55" w:after="160"/>
        <w:jc w:val="both"/>
        <w:rPr>
          <w:rFonts w:asciiTheme="minorHAnsi" w:hAnsiTheme="minorHAnsi" w:cstheme="minorHAnsi"/>
        </w:rPr>
      </w:pPr>
      <w:r>
        <w:rPr>
          <w:rFonts w:asciiTheme="minorHAnsi" w:hAnsiTheme="minorHAnsi" w:cstheme="minorHAnsi"/>
        </w:rPr>
        <w:t xml:space="preserve">MS 3 and MS 4 students are required to attend all clinical rotation activities, exams, and COM educational sessions. </w:t>
      </w:r>
    </w:p>
    <w:p w14:paraId="72F97E28" w14:textId="5B69F19D" w:rsidR="009D46A3" w:rsidRPr="00B83D0C" w:rsidRDefault="009D46A3" w:rsidP="009D46A3">
      <w:pPr>
        <w:pStyle w:val="BodyText"/>
        <w:spacing w:before="55" w:after="160"/>
        <w:ind w:left="720"/>
        <w:jc w:val="both"/>
        <w:rPr>
          <w:rFonts w:asciiTheme="minorHAnsi" w:hAnsiTheme="minorHAnsi" w:cstheme="minorHAnsi"/>
        </w:rPr>
      </w:pPr>
      <w:r>
        <w:rPr>
          <w:rFonts w:asciiTheme="minorHAnsi" w:hAnsiTheme="minorHAnsi" w:cstheme="minorHAnsi"/>
        </w:rPr>
        <w:t>Any unexcused absences may result in a reduction in a course’s overall grade.</w:t>
      </w:r>
      <w:r w:rsidRPr="00B83D0C">
        <w:rPr>
          <w:rFonts w:asciiTheme="minorHAnsi" w:hAnsiTheme="minorHAnsi" w:cstheme="minorHAnsi"/>
        </w:rPr>
        <w:t xml:space="preserve"> Any student with a planned absence (such as medical procedures, funerals, or attending a conference) must obtain permission </w:t>
      </w:r>
      <w:r>
        <w:rPr>
          <w:rFonts w:asciiTheme="minorHAnsi" w:hAnsiTheme="minorHAnsi" w:cstheme="minorHAnsi"/>
        </w:rPr>
        <w:t xml:space="preserve">in advance </w:t>
      </w:r>
      <w:r w:rsidRPr="00B83D0C">
        <w:rPr>
          <w:rFonts w:asciiTheme="minorHAnsi" w:hAnsiTheme="minorHAnsi" w:cstheme="minorHAnsi"/>
        </w:rPr>
        <w:t>for this absence through the medical education office</w:t>
      </w:r>
      <w:r>
        <w:rPr>
          <w:rFonts w:asciiTheme="minorHAnsi" w:hAnsiTheme="minorHAnsi" w:cstheme="minorHAnsi"/>
        </w:rPr>
        <w:t xml:space="preserve"> (MS 1 and MS 2 students) or office of clinical rotations and preceptor (MS 3 and MS 4).</w:t>
      </w:r>
      <w:r w:rsidRPr="00B83D0C">
        <w:rPr>
          <w:rFonts w:asciiTheme="minorHAnsi" w:hAnsiTheme="minorHAnsi" w:cstheme="minorHAnsi"/>
        </w:rPr>
        <w:t xml:space="preserve"> Students with unplanned absences (</w:t>
      </w:r>
      <w:r>
        <w:rPr>
          <w:rFonts w:asciiTheme="minorHAnsi" w:hAnsiTheme="minorHAnsi" w:cstheme="minorHAnsi"/>
        </w:rPr>
        <w:t>e.g.,</w:t>
      </w:r>
      <w:r w:rsidRPr="00B83D0C">
        <w:rPr>
          <w:rFonts w:asciiTheme="minorHAnsi" w:hAnsiTheme="minorHAnsi" w:cstheme="minorHAnsi"/>
        </w:rPr>
        <w:t xml:space="preserve"> illness) must notify the </w:t>
      </w:r>
      <w:r>
        <w:rPr>
          <w:rFonts w:asciiTheme="minorHAnsi" w:hAnsiTheme="minorHAnsi" w:cstheme="minorHAnsi"/>
        </w:rPr>
        <w:t>Office of M</w:t>
      </w:r>
      <w:r w:rsidRPr="00B83D0C">
        <w:rPr>
          <w:rFonts w:asciiTheme="minorHAnsi" w:hAnsiTheme="minorHAnsi" w:cstheme="minorHAnsi"/>
        </w:rPr>
        <w:t xml:space="preserve">edical </w:t>
      </w:r>
      <w:r>
        <w:rPr>
          <w:rFonts w:asciiTheme="minorHAnsi" w:hAnsiTheme="minorHAnsi" w:cstheme="minorHAnsi"/>
        </w:rPr>
        <w:t>E</w:t>
      </w:r>
      <w:r w:rsidRPr="00B83D0C">
        <w:rPr>
          <w:rFonts w:asciiTheme="minorHAnsi" w:hAnsiTheme="minorHAnsi" w:cstheme="minorHAnsi"/>
        </w:rPr>
        <w:t>ducation</w:t>
      </w:r>
      <w:r>
        <w:rPr>
          <w:rFonts w:asciiTheme="minorHAnsi" w:hAnsiTheme="minorHAnsi" w:cstheme="minorHAnsi"/>
        </w:rPr>
        <w:t xml:space="preserve"> or Clinical Rotations and preceptor</w:t>
      </w:r>
      <w:r w:rsidRPr="00B83D0C">
        <w:rPr>
          <w:rFonts w:asciiTheme="minorHAnsi" w:hAnsiTheme="minorHAnsi" w:cstheme="minorHAnsi"/>
        </w:rPr>
        <w:t xml:space="preserve"> by 8:00 a.m. on the date of absence, and provide documentation (</w:t>
      </w:r>
      <w:r>
        <w:rPr>
          <w:rFonts w:asciiTheme="minorHAnsi" w:hAnsiTheme="minorHAnsi" w:cstheme="minorHAnsi"/>
        </w:rPr>
        <w:t>e.g.,</w:t>
      </w:r>
      <w:r w:rsidRPr="00B83D0C">
        <w:rPr>
          <w:rFonts w:asciiTheme="minorHAnsi" w:hAnsiTheme="minorHAnsi" w:cstheme="minorHAnsi"/>
        </w:rPr>
        <w:t xml:space="preserve"> physician’s note) upon return to the COM. Of note, timely arrival to all educational activities is another important sign of professionalism and is considered a sign of respect to faculty and fellow classmates; repeated tardiness may result in student referral to </w:t>
      </w:r>
      <w:r w:rsidR="002F5F75">
        <w:rPr>
          <w:rFonts w:asciiTheme="minorHAnsi" w:hAnsiTheme="minorHAnsi" w:cstheme="minorHAnsi"/>
        </w:rPr>
        <w:t xml:space="preserve">the </w:t>
      </w:r>
      <w:r>
        <w:rPr>
          <w:rFonts w:asciiTheme="minorHAnsi" w:hAnsiTheme="minorHAnsi" w:cstheme="minorHAnsi"/>
        </w:rPr>
        <w:t>Professionalism and Ethical Conduct Committee (“PECC Committee”)</w:t>
      </w:r>
      <w:r w:rsidRPr="00B83D0C">
        <w:rPr>
          <w:rFonts w:asciiTheme="minorHAnsi" w:hAnsiTheme="minorHAnsi" w:cstheme="minorHAnsi"/>
        </w:rPr>
        <w:t>.</w:t>
      </w:r>
    </w:p>
    <w:p w14:paraId="6869A736" w14:textId="77777777" w:rsidR="009D46A3" w:rsidRPr="00B83D0C" w:rsidRDefault="009D46A3" w:rsidP="009D46A3">
      <w:pPr>
        <w:pStyle w:val="BodyText"/>
        <w:numPr>
          <w:ilvl w:val="0"/>
          <w:numId w:val="6"/>
        </w:numPr>
        <w:spacing w:before="55" w:after="160"/>
        <w:jc w:val="both"/>
        <w:rPr>
          <w:rFonts w:asciiTheme="minorHAnsi" w:hAnsiTheme="minorHAnsi" w:cstheme="minorHAnsi"/>
          <w:b/>
        </w:rPr>
      </w:pPr>
      <w:r w:rsidRPr="00B83D0C">
        <w:rPr>
          <w:rFonts w:asciiTheme="minorHAnsi" w:hAnsiTheme="minorHAnsi" w:cstheme="minorHAnsi"/>
          <w:b/>
        </w:rPr>
        <w:t>TUITION AND FEES</w:t>
      </w:r>
    </w:p>
    <w:p w14:paraId="3840A500" w14:textId="77777777" w:rsidR="009D46A3" w:rsidRPr="00B83D0C" w:rsidRDefault="009D46A3" w:rsidP="009D46A3">
      <w:pPr>
        <w:pStyle w:val="BodyText"/>
        <w:numPr>
          <w:ilvl w:val="0"/>
          <w:numId w:val="2"/>
        </w:numPr>
        <w:spacing w:before="55" w:after="160"/>
        <w:jc w:val="both"/>
        <w:rPr>
          <w:rFonts w:asciiTheme="minorHAnsi" w:hAnsiTheme="minorHAnsi" w:cstheme="minorHAnsi"/>
          <w:b/>
          <w:u w:val="single"/>
        </w:rPr>
      </w:pPr>
      <w:r w:rsidRPr="00B83D0C">
        <w:rPr>
          <w:rFonts w:asciiTheme="minorHAnsi" w:hAnsiTheme="minorHAnsi" w:cstheme="minorHAnsi"/>
          <w:b/>
          <w:u w:val="single"/>
        </w:rPr>
        <w:lastRenderedPageBreak/>
        <w:t>Admission Application Fee</w:t>
      </w:r>
    </w:p>
    <w:p w14:paraId="2306B76F" w14:textId="77777777" w:rsidR="009D46A3" w:rsidRPr="00B83D0C" w:rsidRDefault="009D46A3" w:rsidP="009D46A3">
      <w:pPr>
        <w:pStyle w:val="BodyText"/>
        <w:spacing w:before="55" w:after="160"/>
        <w:ind w:left="1080"/>
        <w:jc w:val="both"/>
        <w:rPr>
          <w:rFonts w:asciiTheme="minorHAnsi" w:hAnsiTheme="minorHAnsi" w:cstheme="minorHAnsi"/>
        </w:rPr>
      </w:pPr>
      <w:r w:rsidRPr="00B83D0C">
        <w:rPr>
          <w:rFonts w:asciiTheme="minorHAnsi" w:hAnsiTheme="minorHAnsi" w:cstheme="minorHAnsi"/>
        </w:rPr>
        <w:t>A nonrefundable fee of $</w:t>
      </w:r>
      <w:r w:rsidRPr="00B94AFF">
        <w:rPr>
          <w:rFonts w:asciiTheme="minorHAnsi" w:hAnsiTheme="minorHAnsi" w:cstheme="minorHAnsi"/>
        </w:rPr>
        <w:t>65.00</w:t>
      </w:r>
      <w:r w:rsidRPr="00B83D0C">
        <w:rPr>
          <w:rFonts w:asciiTheme="minorHAnsi" w:hAnsiTheme="minorHAnsi" w:cstheme="minorHAnsi"/>
        </w:rPr>
        <w:t xml:space="preserve"> is due to the COM upon submission of a secondary application to the COM. </w:t>
      </w:r>
      <w:r>
        <w:rPr>
          <w:rFonts w:asciiTheme="minorHAnsi" w:hAnsiTheme="minorHAnsi" w:cstheme="minorHAnsi"/>
        </w:rPr>
        <w:t>Students are also responsible for the cost related to background checks.</w:t>
      </w:r>
    </w:p>
    <w:p w14:paraId="53B7ED46" w14:textId="77777777" w:rsidR="009D46A3" w:rsidRPr="00B83D0C" w:rsidRDefault="009D46A3" w:rsidP="009D46A3">
      <w:pPr>
        <w:pStyle w:val="BodyText"/>
        <w:numPr>
          <w:ilvl w:val="0"/>
          <w:numId w:val="2"/>
        </w:numPr>
        <w:spacing w:before="55" w:after="160"/>
        <w:jc w:val="both"/>
        <w:rPr>
          <w:rFonts w:asciiTheme="minorHAnsi" w:hAnsiTheme="minorHAnsi" w:cstheme="minorHAnsi"/>
          <w:b/>
          <w:u w:val="single"/>
        </w:rPr>
      </w:pPr>
      <w:r w:rsidRPr="00B83D0C">
        <w:rPr>
          <w:rFonts w:asciiTheme="minorHAnsi" w:hAnsiTheme="minorHAnsi" w:cstheme="minorHAnsi"/>
          <w:b/>
          <w:u w:val="single"/>
        </w:rPr>
        <w:t>Acceptance Fee</w:t>
      </w:r>
    </w:p>
    <w:p w14:paraId="52166900" w14:textId="77777777" w:rsidR="009D46A3" w:rsidRPr="00B83D0C" w:rsidRDefault="009D46A3" w:rsidP="009D46A3">
      <w:pPr>
        <w:pStyle w:val="BodyText"/>
        <w:spacing w:before="55" w:after="160"/>
        <w:ind w:left="1080"/>
        <w:jc w:val="both"/>
        <w:rPr>
          <w:rFonts w:asciiTheme="minorHAnsi" w:hAnsiTheme="minorHAnsi" w:cstheme="minorHAnsi"/>
        </w:rPr>
      </w:pPr>
      <w:r w:rsidRPr="00B83D0C">
        <w:rPr>
          <w:rFonts w:asciiTheme="minorHAnsi" w:hAnsiTheme="minorHAnsi" w:cstheme="minorHAnsi"/>
        </w:rPr>
        <w:t xml:space="preserve">Students will deposit $1500.00 within two weeks of the date of acceptance to the COM. This is a non-refundable deposit that is </w:t>
      </w:r>
      <w:r>
        <w:rPr>
          <w:rFonts w:asciiTheme="minorHAnsi" w:hAnsiTheme="minorHAnsi" w:cstheme="minorHAnsi"/>
        </w:rPr>
        <w:t>applied</w:t>
      </w:r>
      <w:r w:rsidRPr="00B83D0C">
        <w:rPr>
          <w:rFonts w:asciiTheme="minorHAnsi" w:hAnsiTheme="minorHAnsi" w:cstheme="minorHAnsi"/>
        </w:rPr>
        <w:t xml:space="preserve"> to the student’s MS</w:t>
      </w:r>
      <w:r>
        <w:rPr>
          <w:rFonts w:asciiTheme="minorHAnsi" w:hAnsiTheme="minorHAnsi" w:cstheme="minorHAnsi"/>
        </w:rPr>
        <w:t xml:space="preserve"> </w:t>
      </w:r>
      <w:r w:rsidRPr="00B83D0C">
        <w:rPr>
          <w:rFonts w:asciiTheme="minorHAnsi" w:hAnsiTheme="minorHAnsi" w:cstheme="minorHAnsi"/>
        </w:rPr>
        <w:t>1 tuition</w:t>
      </w:r>
      <w:r>
        <w:rPr>
          <w:rFonts w:asciiTheme="minorHAnsi" w:hAnsiTheme="minorHAnsi" w:cstheme="minorHAnsi"/>
        </w:rPr>
        <w:t>.</w:t>
      </w:r>
      <w:r w:rsidRPr="00B83D0C">
        <w:rPr>
          <w:rFonts w:asciiTheme="minorHAnsi" w:hAnsiTheme="minorHAnsi" w:cstheme="minorHAnsi"/>
        </w:rPr>
        <w:t xml:space="preserve"> </w:t>
      </w:r>
    </w:p>
    <w:p w14:paraId="40C70548" w14:textId="77777777" w:rsidR="009D46A3" w:rsidRPr="00B83D0C" w:rsidRDefault="009D46A3" w:rsidP="009D46A3">
      <w:pPr>
        <w:pStyle w:val="BodyText"/>
        <w:numPr>
          <w:ilvl w:val="0"/>
          <w:numId w:val="2"/>
        </w:numPr>
        <w:spacing w:before="55" w:after="160"/>
        <w:jc w:val="both"/>
        <w:rPr>
          <w:rFonts w:asciiTheme="minorHAnsi" w:hAnsiTheme="minorHAnsi" w:cstheme="minorHAnsi"/>
          <w:b/>
          <w:u w:val="single"/>
        </w:rPr>
      </w:pPr>
      <w:r w:rsidRPr="00B83D0C">
        <w:rPr>
          <w:rFonts w:asciiTheme="minorHAnsi" w:hAnsiTheme="minorHAnsi" w:cstheme="minorHAnsi"/>
          <w:b/>
          <w:u w:val="single"/>
        </w:rPr>
        <w:t>Tuition and Fees</w:t>
      </w:r>
    </w:p>
    <w:p w14:paraId="2E2284A8" w14:textId="2B1DB3A0" w:rsidR="009D46A3" w:rsidRPr="00B83D0C" w:rsidRDefault="009D46A3" w:rsidP="009D46A3">
      <w:pPr>
        <w:pStyle w:val="BodyText"/>
        <w:spacing w:before="55" w:after="160"/>
        <w:ind w:left="1080"/>
        <w:jc w:val="both"/>
        <w:rPr>
          <w:rFonts w:asciiTheme="minorHAnsi" w:hAnsiTheme="minorHAnsi" w:cstheme="minorHAnsi"/>
        </w:rPr>
      </w:pPr>
      <w:r w:rsidRPr="00B83D0C">
        <w:rPr>
          <w:rFonts w:asciiTheme="minorHAnsi" w:hAnsiTheme="minorHAnsi" w:cstheme="minorHAnsi"/>
        </w:rPr>
        <w:t xml:space="preserve">The student’s cost of attendance is based on tuition, required books and educational supplies, room and board, and other miscellaneous expenses. Student tuition </w:t>
      </w:r>
      <w:r w:rsidR="006819C7">
        <w:rPr>
          <w:rFonts w:asciiTheme="minorHAnsi" w:hAnsiTheme="minorHAnsi" w:cstheme="minorHAnsi"/>
        </w:rPr>
        <w:t>and costs are</w:t>
      </w:r>
      <w:r w:rsidRPr="00B83D0C">
        <w:rPr>
          <w:rFonts w:asciiTheme="minorHAnsi" w:hAnsiTheme="minorHAnsi" w:cstheme="minorHAnsi"/>
        </w:rPr>
        <w:t xml:space="preserve"> billed biannually (typically July and December) and is due within 30 days of receipt of the bill. </w:t>
      </w:r>
      <w:r>
        <w:rPr>
          <w:rFonts w:asciiTheme="minorHAnsi" w:hAnsiTheme="minorHAnsi" w:cstheme="minorHAnsi"/>
        </w:rPr>
        <w:t>S</w:t>
      </w:r>
      <w:r w:rsidRPr="00B83D0C">
        <w:rPr>
          <w:rFonts w:asciiTheme="minorHAnsi" w:hAnsiTheme="minorHAnsi" w:cstheme="minorHAnsi"/>
        </w:rPr>
        <w:t xml:space="preserve">tudents who fail rotations, board examinations, </w:t>
      </w:r>
      <w:r>
        <w:rPr>
          <w:rFonts w:asciiTheme="minorHAnsi" w:hAnsiTheme="minorHAnsi" w:cstheme="minorHAnsi"/>
        </w:rPr>
        <w:t>and/</w:t>
      </w:r>
      <w:r w:rsidRPr="00B83D0C">
        <w:rPr>
          <w:rFonts w:asciiTheme="minorHAnsi" w:hAnsiTheme="minorHAnsi" w:cstheme="minorHAnsi"/>
        </w:rPr>
        <w:t xml:space="preserve">or are assigned additional curricular requirements </w:t>
      </w:r>
      <w:r>
        <w:rPr>
          <w:rFonts w:asciiTheme="minorHAnsi" w:hAnsiTheme="minorHAnsi" w:cstheme="minorHAnsi"/>
        </w:rPr>
        <w:t xml:space="preserve">in a </w:t>
      </w:r>
      <w:r w:rsidRPr="00B83D0C">
        <w:rPr>
          <w:rFonts w:asciiTheme="minorHAnsi" w:hAnsiTheme="minorHAnsi" w:cstheme="minorHAnsi"/>
        </w:rPr>
        <w:t>Modified Plan of Study</w:t>
      </w:r>
      <w:r>
        <w:rPr>
          <w:rFonts w:asciiTheme="minorHAnsi" w:hAnsiTheme="minorHAnsi" w:cstheme="minorHAnsi"/>
        </w:rPr>
        <w:t xml:space="preserve"> will incur the cost of the Modified Plan of Study that is chosen by the COM</w:t>
      </w:r>
      <w:r w:rsidRPr="00B83D0C">
        <w:rPr>
          <w:rFonts w:asciiTheme="minorHAnsi" w:hAnsiTheme="minorHAnsi" w:cstheme="minorHAnsi"/>
        </w:rPr>
        <w:t>. Late fees may be assessed to students who do not pay their tuition by the deadline, and checks returned for insufficient funds will be assessed an additional fee. Graduating students must satisfy all tuition and other financial obligations to the COM</w:t>
      </w:r>
      <w:r w:rsidR="00177733">
        <w:rPr>
          <w:rFonts w:asciiTheme="minorHAnsi" w:hAnsiTheme="minorHAnsi" w:cstheme="minorHAnsi"/>
        </w:rPr>
        <w:t xml:space="preserve"> and University</w:t>
      </w:r>
      <w:r w:rsidRPr="00B83D0C">
        <w:rPr>
          <w:rFonts w:asciiTheme="minorHAnsi" w:hAnsiTheme="minorHAnsi" w:cstheme="minorHAnsi"/>
        </w:rPr>
        <w:t xml:space="preserve"> before their degree will be conferred. Students who withdraw or transfer must also satisfy all tuition and financial obligations to the COM </w:t>
      </w:r>
      <w:r w:rsidR="00177733">
        <w:rPr>
          <w:rFonts w:asciiTheme="minorHAnsi" w:hAnsiTheme="minorHAnsi" w:cstheme="minorHAnsi"/>
        </w:rPr>
        <w:t xml:space="preserve">and University </w:t>
      </w:r>
      <w:r w:rsidRPr="00B83D0C">
        <w:rPr>
          <w:rFonts w:asciiTheme="minorHAnsi" w:hAnsiTheme="minorHAnsi" w:cstheme="minorHAnsi"/>
        </w:rPr>
        <w:t>prior to the finalization of the changed status.</w:t>
      </w:r>
    </w:p>
    <w:p w14:paraId="7D47F147" w14:textId="77777777" w:rsidR="009D46A3" w:rsidRPr="0082253E" w:rsidRDefault="009D46A3" w:rsidP="009D46A3">
      <w:pPr>
        <w:pStyle w:val="BodyText"/>
        <w:numPr>
          <w:ilvl w:val="0"/>
          <w:numId w:val="6"/>
        </w:numPr>
        <w:spacing w:before="55" w:after="160"/>
        <w:jc w:val="both"/>
        <w:rPr>
          <w:rFonts w:asciiTheme="minorHAnsi" w:hAnsiTheme="minorHAnsi" w:cstheme="minorHAnsi"/>
        </w:rPr>
      </w:pPr>
      <w:r w:rsidRPr="0082253E">
        <w:rPr>
          <w:rFonts w:asciiTheme="minorHAnsi" w:hAnsiTheme="minorHAnsi" w:cstheme="minorHAnsi"/>
          <w:b/>
        </w:rPr>
        <w:t xml:space="preserve">REFUNDS </w:t>
      </w:r>
    </w:p>
    <w:p w14:paraId="4C001F3D" w14:textId="77777777" w:rsidR="009D46A3" w:rsidRPr="0082253E" w:rsidRDefault="009D46A3" w:rsidP="009D46A3">
      <w:pPr>
        <w:pStyle w:val="BodyText"/>
        <w:spacing w:before="55" w:after="160"/>
        <w:ind w:left="720"/>
        <w:jc w:val="both"/>
        <w:rPr>
          <w:rFonts w:asciiTheme="minorHAnsi" w:hAnsiTheme="minorHAnsi" w:cstheme="minorHAnsi"/>
        </w:rPr>
      </w:pPr>
      <w:r w:rsidRPr="0082253E">
        <w:rPr>
          <w:rFonts w:asciiTheme="minorHAnsi" w:hAnsiTheme="minorHAnsi" w:cstheme="minorHAnsi"/>
        </w:rPr>
        <w:t xml:space="preserve">If a student withdraws from the COM </w:t>
      </w:r>
      <w:r>
        <w:rPr>
          <w:rFonts w:asciiTheme="minorHAnsi" w:hAnsiTheme="minorHAnsi" w:cstheme="minorHAnsi"/>
        </w:rPr>
        <w:t>prior to</w:t>
      </w:r>
      <w:r w:rsidRPr="0082253E">
        <w:rPr>
          <w:rFonts w:asciiTheme="minorHAnsi" w:hAnsiTheme="minorHAnsi" w:cstheme="minorHAnsi"/>
        </w:rPr>
        <w:t xml:space="preserve"> completing </w:t>
      </w:r>
      <w:r>
        <w:rPr>
          <w:rFonts w:asciiTheme="minorHAnsi" w:hAnsiTheme="minorHAnsi" w:cstheme="minorHAnsi"/>
        </w:rPr>
        <w:t>the</w:t>
      </w:r>
      <w:r w:rsidRPr="0082253E">
        <w:rPr>
          <w:rFonts w:asciiTheme="minorHAnsi" w:hAnsiTheme="minorHAnsi" w:cstheme="minorHAnsi"/>
        </w:rPr>
        <w:t xml:space="preserve"> </w:t>
      </w:r>
      <w:r>
        <w:rPr>
          <w:rFonts w:asciiTheme="minorHAnsi" w:hAnsiTheme="minorHAnsi" w:cstheme="minorHAnsi"/>
        </w:rPr>
        <w:t>coursework for a given semester</w:t>
      </w:r>
      <w:r w:rsidRPr="0082253E">
        <w:rPr>
          <w:rFonts w:asciiTheme="minorHAnsi" w:hAnsiTheme="minorHAnsi" w:cstheme="minorHAnsi"/>
        </w:rPr>
        <w:t xml:space="preserve">, a pro-rated refund will be assessed and returned to the student’s account as outlined below; of note, the U.S. Department of Education requires the COM to return the unearned portion of </w:t>
      </w:r>
      <w:r>
        <w:rPr>
          <w:rFonts w:asciiTheme="minorHAnsi" w:hAnsiTheme="minorHAnsi" w:cstheme="minorHAnsi"/>
        </w:rPr>
        <w:t xml:space="preserve">federal </w:t>
      </w:r>
      <w:r w:rsidRPr="0082253E">
        <w:rPr>
          <w:rFonts w:asciiTheme="minorHAnsi" w:hAnsiTheme="minorHAnsi" w:cstheme="minorHAnsi"/>
        </w:rPr>
        <w:t>student loans.</w:t>
      </w:r>
    </w:p>
    <w:tbl>
      <w:tblPr>
        <w:tblStyle w:val="TableGrid"/>
        <w:tblW w:w="0" w:type="auto"/>
        <w:tblInd w:w="607" w:type="dxa"/>
        <w:tblLook w:val="04A0" w:firstRow="1" w:lastRow="0" w:firstColumn="1" w:lastColumn="0" w:noHBand="0" w:noVBand="1"/>
      </w:tblPr>
      <w:tblGrid>
        <w:gridCol w:w="5148"/>
        <w:gridCol w:w="1890"/>
      </w:tblGrid>
      <w:tr w:rsidR="009D46A3" w:rsidRPr="009A483C" w14:paraId="1D88FC4F" w14:textId="77777777" w:rsidTr="003D3700">
        <w:tc>
          <w:tcPr>
            <w:tcW w:w="5148" w:type="dxa"/>
            <w:shd w:val="clear" w:color="auto" w:fill="4472C4" w:themeFill="accent1"/>
          </w:tcPr>
          <w:p w14:paraId="3BBB371C" w14:textId="77777777" w:rsidR="009D46A3" w:rsidRPr="009A483C" w:rsidRDefault="009D46A3" w:rsidP="003D3700">
            <w:pPr>
              <w:rPr>
                <w:b/>
                <w:color w:val="FFFFFF" w:themeColor="background1"/>
                <w:sz w:val="24"/>
              </w:rPr>
            </w:pPr>
            <w:r w:rsidRPr="009A483C">
              <w:rPr>
                <w:b/>
                <w:color w:val="FFFFFF" w:themeColor="background1"/>
                <w:sz w:val="24"/>
              </w:rPr>
              <w:t xml:space="preserve">Withdrawal </w:t>
            </w:r>
            <w:bookmarkStart w:id="0" w:name="_GoBack"/>
            <w:r w:rsidRPr="009A483C">
              <w:rPr>
                <w:b/>
                <w:color w:val="FFFFFF" w:themeColor="background1"/>
                <w:sz w:val="24"/>
              </w:rPr>
              <w:t>Date</w:t>
            </w:r>
            <w:bookmarkEnd w:id="0"/>
          </w:p>
        </w:tc>
        <w:tc>
          <w:tcPr>
            <w:tcW w:w="1890" w:type="dxa"/>
            <w:shd w:val="clear" w:color="auto" w:fill="4472C4" w:themeFill="accent1"/>
          </w:tcPr>
          <w:p w14:paraId="183DFFBF" w14:textId="77777777" w:rsidR="009D46A3" w:rsidRPr="009A483C" w:rsidRDefault="009D46A3" w:rsidP="003D3700">
            <w:pPr>
              <w:rPr>
                <w:b/>
                <w:color w:val="FFFFFF" w:themeColor="background1"/>
                <w:sz w:val="24"/>
              </w:rPr>
            </w:pPr>
            <w:r w:rsidRPr="009A483C">
              <w:rPr>
                <w:b/>
                <w:color w:val="FFFFFF" w:themeColor="background1"/>
                <w:sz w:val="24"/>
              </w:rPr>
              <w:t>Possible Refund</w:t>
            </w:r>
          </w:p>
        </w:tc>
      </w:tr>
      <w:tr w:rsidR="009D46A3" w:rsidRPr="009A483C" w14:paraId="06B8A25C" w14:textId="77777777" w:rsidTr="003D3700">
        <w:tc>
          <w:tcPr>
            <w:tcW w:w="5148" w:type="dxa"/>
          </w:tcPr>
          <w:p w14:paraId="2B4425D6" w14:textId="77777777" w:rsidR="009D46A3" w:rsidRPr="009A483C" w:rsidRDefault="009D46A3" w:rsidP="003D3700">
            <w:pPr>
              <w:rPr>
                <w:sz w:val="24"/>
              </w:rPr>
            </w:pPr>
            <w:r>
              <w:rPr>
                <w:sz w:val="24"/>
              </w:rPr>
              <w:t>During</w:t>
            </w:r>
            <w:r w:rsidRPr="009A483C">
              <w:rPr>
                <w:sz w:val="24"/>
              </w:rPr>
              <w:t xml:space="preserve"> the first week of the semester</w:t>
            </w:r>
          </w:p>
        </w:tc>
        <w:tc>
          <w:tcPr>
            <w:tcW w:w="1890" w:type="dxa"/>
          </w:tcPr>
          <w:p w14:paraId="706C52FD" w14:textId="77777777" w:rsidR="009D46A3" w:rsidRPr="009A483C" w:rsidRDefault="009D46A3" w:rsidP="003D3700">
            <w:pPr>
              <w:jc w:val="center"/>
              <w:rPr>
                <w:sz w:val="24"/>
              </w:rPr>
            </w:pPr>
            <w:r w:rsidRPr="009A483C">
              <w:rPr>
                <w:sz w:val="24"/>
              </w:rPr>
              <w:t>100%</w:t>
            </w:r>
          </w:p>
        </w:tc>
      </w:tr>
      <w:tr w:rsidR="009D46A3" w:rsidRPr="009A483C" w14:paraId="634CFC0A" w14:textId="77777777" w:rsidTr="003D3700">
        <w:tc>
          <w:tcPr>
            <w:tcW w:w="5148" w:type="dxa"/>
          </w:tcPr>
          <w:p w14:paraId="74394D01" w14:textId="77777777" w:rsidR="009D46A3" w:rsidRPr="009A483C" w:rsidRDefault="009D46A3" w:rsidP="003D3700">
            <w:pPr>
              <w:rPr>
                <w:sz w:val="24"/>
              </w:rPr>
            </w:pPr>
            <w:r>
              <w:rPr>
                <w:sz w:val="24"/>
              </w:rPr>
              <w:t>During</w:t>
            </w:r>
            <w:r w:rsidRPr="009A483C">
              <w:rPr>
                <w:sz w:val="24"/>
              </w:rPr>
              <w:t xml:space="preserve"> the second week of the semester</w:t>
            </w:r>
          </w:p>
        </w:tc>
        <w:tc>
          <w:tcPr>
            <w:tcW w:w="1890" w:type="dxa"/>
          </w:tcPr>
          <w:p w14:paraId="554C184C" w14:textId="77777777" w:rsidR="009D46A3" w:rsidRPr="009A483C" w:rsidRDefault="009D46A3" w:rsidP="003D3700">
            <w:pPr>
              <w:jc w:val="center"/>
              <w:rPr>
                <w:sz w:val="24"/>
              </w:rPr>
            </w:pPr>
            <w:r w:rsidRPr="009A483C">
              <w:rPr>
                <w:sz w:val="24"/>
              </w:rPr>
              <w:t>80%</w:t>
            </w:r>
          </w:p>
        </w:tc>
      </w:tr>
      <w:tr w:rsidR="009D46A3" w:rsidRPr="009A483C" w14:paraId="3A7470B1" w14:textId="77777777" w:rsidTr="003D3700">
        <w:tc>
          <w:tcPr>
            <w:tcW w:w="5148" w:type="dxa"/>
          </w:tcPr>
          <w:p w14:paraId="1B6E0312" w14:textId="77777777" w:rsidR="009D46A3" w:rsidRPr="009A483C" w:rsidRDefault="009D46A3" w:rsidP="003D3700">
            <w:pPr>
              <w:rPr>
                <w:sz w:val="24"/>
              </w:rPr>
            </w:pPr>
            <w:r>
              <w:rPr>
                <w:sz w:val="24"/>
              </w:rPr>
              <w:t>During</w:t>
            </w:r>
            <w:r w:rsidRPr="009A483C">
              <w:rPr>
                <w:sz w:val="24"/>
              </w:rPr>
              <w:t xml:space="preserve"> the third week of the semester</w:t>
            </w:r>
          </w:p>
        </w:tc>
        <w:tc>
          <w:tcPr>
            <w:tcW w:w="1890" w:type="dxa"/>
          </w:tcPr>
          <w:p w14:paraId="6678918B" w14:textId="77777777" w:rsidR="009D46A3" w:rsidRPr="009A483C" w:rsidRDefault="009D46A3" w:rsidP="003D3700">
            <w:pPr>
              <w:jc w:val="center"/>
              <w:rPr>
                <w:sz w:val="24"/>
              </w:rPr>
            </w:pPr>
            <w:r w:rsidRPr="009A483C">
              <w:rPr>
                <w:sz w:val="24"/>
              </w:rPr>
              <w:t>40%</w:t>
            </w:r>
          </w:p>
        </w:tc>
      </w:tr>
      <w:tr w:rsidR="009D46A3" w:rsidRPr="009A483C" w14:paraId="5DA57E11" w14:textId="77777777" w:rsidTr="003D3700">
        <w:tc>
          <w:tcPr>
            <w:tcW w:w="5148" w:type="dxa"/>
          </w:tcPr>
          <w:p w14:paraId="2013FF0F" w14:textId="77777777" w:rsidR="009D46A3" w:rsidRPr="009A483C" w:rsidRDefault="009D46A3" w:rsidP="003D3700">
            <w:pPr>
              <w:rPr>
                <w:sz w:val="24"/>
              </w:rPr>
            </w:pPr>
            <w:r>
              <w:rPr>
                <w:sz w:val="24"/>
              </w:rPr>
              <w:t>During</w:t>
            </w:r>
            <w:r w:rsidRPr="009A483C">
              <w:rPr>
                <w:sz w:val="24"/>
              </w:rPr>
              <w:t xml:space="preserve"> the fourth week of the semester</w:t>
            </w:r>
          </w:p>
        </w:tc>
        <w:tc>
          <w:tcPr>
            <w:tcW w:w="1890" w:type="dxa"/>
          </w:tcPr>
          <w:p w14:paraId="3A2CA43D" w14:textId="77777777" w:rsidR="009D46A3" w:rsidRPr="009A483C" w:rsidRDefault="009D46A3" w:rsidP="003D3700">
            <w:pPr>
              <w:jc w:val="center"/>
              <w:rPr>
                <w:sz w:val="24"/>
              </w:rPr>
            </w:pPr>
            <w:r w:rsidRPr="009A483C">
              <w:rPr>
                <w:sz w:val="24"/>
              </w:rPr>
              <w:t>20%</w:t>
            </w:r>
          </w:p>
        </w:tc>
      </w:tr>
      <w:tr w:rsidR="009D46A3" w:rsidRPr="009A483C" w14:paraId="6D2DBFA9" w14:textId="77777777" w:rsidTr="003D3700">
        <w:tc>
          <w:tcPr>
            <w:tcW w:w="5148" w:type="dxa"/>
          </w:tcPr>
          <w:p w14:paraId="30E23E13" w14:textId="77777777" w:rsidR="009D46A3" w:rsidRPr="009A483C" w:rsidRDefault="009D46A3" w:rsidP="003D3700">
            <w:pPr>
              <w:rPr>
                <w:sz w:val="24"/>
              </w:rPr>
            </w:pPr>
            <w:r w:rsidRPr="009A483C">
              <w:rPr>
                <w:sz w:val="24"/>
              </w:rPr>
              <w:t>After the end of the fourth week of the semester</w:t>
            </w:r>
          </w:p>
        </w:tc>
        <w:tc>
          <w:tcPr>
            <w:tcW w:w="1890" w:type="dxa"/>
          </w:tcPr>
          <w:p w14:paraId="727427F4" w14:textId="77777777" w:rsidR="009D46A3" w:rsidRPr="009A483C" w:rsidRDefault="009D46A3" w:rsidP="003D3700">
            <w:pPr>
              <w:jc w:val="center"/>
              <w:rPr>
                <w:sz w:val="24"/>
              </w:rPr>
            </w:pPr>
            <w:r w:rsidRPr="009A483C">
              <w:rPr>
                <w:sz w:val="24"/>
              </w:rPr>
              <w:t>0%</w:t>
            </w:r>
          </w:p>
        </w:tc>
      </w:tr>
    </w:tbl>
    <w:p w14:paraId="0F1EB8B3" w14:textId="77777777" w:rsidR="009D46A3" w:rsidRPr="00B83D0C" w:rsidRDefault="009D46A3" w:rsidP="009D46A3">
      <w:pPr>
        <w:pStyle w:val="BodyText"/>
        <w:numPr>
          <w:ilvl w:val="0"/>
          <w:numId w:val="6"/>
        </w:numPr>
        <w:spacing w:before="55" w:after="160"/>
        <w:jc w:val="both"/>
        <w:rPr>
          <w:rFonts w:asciiTheme="minorHAnsi" w:hAnsiTheme="minorHAnsi" w:cstheme="minorHAnsi"/>
          <w:b/>
        </w:rPr>
      </w:pPr>
      <w:r w:rsidRPr="00B83D0C">
        <w:rPr>
          <w:rFonts w:asciiTheme="minorHAnsi" w:hAnsiTheme="minorHAnsi" w:cstheme="minorHAnsi"/>
          <w:b/>
        </w:rPr>
        <w:t>RETENTION</w:t>
      </w:r>
    </w:p>
    <w:p w14:paraId="28A059B6" w14:textId="616CB2D4" w:rsidR="009D46A3" w:rsidRPr="00B83D0C" w:rsidRDefault="009D46A3" w:rsidP="009D46A3">
      <w:pPr>
        <w:pStyle w:val="BodyText"/>
        <w:spacing w:before="55" w:after="160"/>
        <w:ind w:left="720"/>
        <w:jc w:val="both"/>
        <w:rPr>
          <w:rFonts w:asciiTheme="minorHAnsi" w:hAnsiTheme="minorHAnsi" w:cstheme="minorHAnsi"/>
        </w:rPr>
      </w:pPr>
      <w:r w:rsidRPr="00B83D0C">
        <w:rPr>
          <w:rFonts w:asciiTheme="minorHAnsi" w:hAnsiTheme="minorHAnsi" w:cstheme="minorHAnsi"/>
        </w:rPr>
        <w:t>The COM deeply values each student for their commitment to the profession and their future contribution to the betterment of healthcare in our region and beyond. As such, the COM places a strong emphasis on student success</w:t>
      </w:r>
      <w:r>
        <w:rPr>
          <w:rFonts w:asciiTheme="minorHAnsi" w:hAnsiTheme="minorHAnsi" w:cstheme="minorHAnsi"/>
        </w:rPr>
        <w:t xml:space="preserve"> and well-being</w:t>
      </w:r>
      <w:r w:rsidRPr="00B83D0C">
        <w:rPr>
          <w:rFonts w:asciiTheme="minorHAnsi" w:hAnsiTheme="minorHAnsi" w:cstheme="minorHAnsi"/>
        </w:rPr>
        <w:t>. Given the main reasons that students may leave a higher education program (cost, isolation, social difficulties, and unclear expectations), the COM has put in place several retention strategies to best support our students:</w:t>
      </w:r>
    </w:p>
    <w:p w14:paraId="03A4EA93" w14:textId="0D27FE76" w:rsidR="00177733" w:rsidRDefault="00177733" w:rsidP="009D46A3">
      <w:pPr>
        <w:pStyle w:val="BodyText"/>
        <w:numPr>
          <w:ilvl w:val="1"/>
          <w:numId w:val="2"/>
        </w:numPr>
        <w:spacing w:before="55" w:after="160"/>
        <w:jc w:val="both"/>
        <w:rPr>
          <w:rFonts w:asciiTheme="minorHAnsi" w:hAnsiTheme="minorHAnsi" w:cstheme="minorHAnsi"/>
        </w:rPr>
      </w:pPr>
      <w:r>
        <w:rPr>
          <w:rFonts w:asciiTheme="minorHAnsi" w:hAnsiTheme="minorHAnsi" w:cstheme="minorHAnsi"/>
        </w:rPr>
        <w:lastRenderedPageBreak/>
        <w:t xml:space="preserve">The COM and University maintain an environment to promote and support wellness. Some of the key resources available to students, faculty, and staff are outlined in the COM’s </w:t>
      </w:r>
      <w:r w:rsidRPr="00177733">
        <w:rPr>
          <w:rFonts w:asciiTheme="minorHAnsi" w:hAnsiTheme="minorHAnsi" w:cstheme="minorHAnsi"/>
        </w:rPr>
        <w:t>Wellness, Mental Health</w:t>
      </w:r>
      <w:r>
        <w:rPr>
          <w:rFonts w:asciiTheme="minorHAnsi" w:hAnsiTheme="minorHAnsi" w:cstheme="minorHAnsi"/>
        </w:rPr>
        <w:t>,</w:t>
      </w:r>
      <w:r w:rsidRPr="00177733">
        <w:rPr>
          <w:rFonts w:asciiTheme="minorHAnsi" w:hAnsiTheme="minorHAnsi" w:cstheme="minorHAnsi"/>
        </w:rPr>
        <w:t xml:space="preserve"> and Fatigue Mitigation</w:t>
      </w:r>
      <w:r>
        <w:rPr>
          <w:rFonts w:asciiTheme="minorHAnsi" w:hAnsiTheme="minorHAnsi" w:cstheme="minorHAnsi"/>
        </w:rPr>
        <w:t xml:space="preserve"> Policy. </w:t>
      </w:r>
    </w:p>
    <w:p w14:paraId="2A9E54D0" w14:textId="348B9FF7" w:rsidR="009D46A3" w:rsidRPr="00B83D0C" w:rsidRDefault="009D46A3" w:rsidP="009D46A3">
      <w:pPr>
        <w:pStyle w:val="BodyText"/>
        <w:numPr>
          <w:ilvl w:val="1"/>
          <w:numId w:val="2"/>
        </w:numPr>
        <w:spacing w:before="55" w:after="160"/>
        <w:jc w:val="both"/>
        <w:rPr>
          <w:rFonts w:asciiTheme="minorHAnsi" w:hAnsiTheme="minorHAnsi" w:cstheme="minorHAnsi"/>
        </w:rPr>
      </w:pPr>
      <w:r w:rsidRPr="00B83D0C">
        <w:rPr>
          <w:rFonts w:asciiTheme="minorHAnsi" w:hAnsiTheme="minorHAnsi" w:cstheme="minorHAnsi"/>
        </w:rPr>
        <w:t>The COM employs</w:t>
      </w:r>
      <w:r>
        <w:rPr>
          <w:rFonts w:asciiTheme="minorHAnsi" w:hAnsiTheme="minorHAnsi" w:cstheme="minorHAnsi"/>
        </w:rPr>
        <w:t xml:space="preserve"> </w:t>
      </w:r>
      <w:r w:rsidR="00177733">
        <w:rPr>
          <w:rFonts w:asciiTheme="minorHAnsi" w:hAnsiTheme="minorHAnsi" w:cstheme="minorHAnsi"/>
        </w:rPr>
        <w:t>personnel</w:t>
      </w:r>
      <w:r>
        <w:rPr>
          <w:rFonts w:asciiTheme="minorHAnsi" w:hAnsiTheme="minorHAnsi" w:cstheme="minorHAnsi"/>
        </w:rPr>
        <w:t xml:space="preserve"> who will</w:t>
      </w:r>
      <w:r w:rsidRPr="00B83D0C">
        <w:rPr>
          <w:rFonts w:asciiTheme="minorHAnsi" w:hAnsiTheme="minorHAnsi" w:cstheme="minorHAnsi"/>
        </w:rPr>
        <w:t xml:space="preserve"> </w:t>
      </w:r>
      <w:r>
        <w:rPr>
          <w:rFonts w:asciiTheme="minorHAnsi" w:hAnsiTheme="minorHAnsi" w:cstheme="minorHAnsi"/>
        </w:rPr>
        <w:t xml:space="preserve">assist students to improve their </w:t>
      </w:r>
      <w:r w:rsidRPr="00B83D0C">
        <w:rPr>
          <w:rFonts w:asciiTheme="minorHAnsi" w:hAnsiTheme="minorHAnsi" w:cstheme="minorHAnsi"/>
        </w:rPr>
        <w:t xml:space="preserve">study </w:t>
      </w:r>
      <w:r>
        <w:rPr>
          <w:rFonts w:asciiTheme="minorHAnsi" w:hAnsiTheme="minorHAnsi" w:cstheme="minorHAnsi"/>
        </w:rPr>
        <w:t xml:space="preserve">skills, </w:t>
      </w:r>
      <w:r w:rsidRPr="00B83D0C">
        <w:rPr>
          <w:rFonts w:asciiTheme="minorHAnsi" w:hAnsiTheme="minorHAnsi" w:cstheme="minorHAnsi"/>
        </w:rPr>
        <w:t xml:space="preserve">test-taking </w:t>
      </w:r>
      <w:r>
        <w:rPr>
          <w:rFonts w:asciiTheme="minorHAnsi" w:hAnsiTheme="minorHAnsi" w:cstheme="minorHAnsi"/>
        </w:rPr>
        <w:t>skills</w:t>
      </w:r>
      <w:r w:rsidRPr="00B83D0C">
        <w:rPr>
          <w:rFonts w:asciiTheme="minorHAnsi" w:hAnsiTheme="minorHAnsi" w:cstheme="minorHAnsi"/>
        </w:rPr>
        <w:t>, goal-setting,</w:t>
      </w:r>
      <w:r>
        <w:rPr>
          <w:rFonts w:asciiTheme="minorHAnsi" w:hAnsiTheme="minorHAnsi" w:cstheme="minorHAnsi"/>
        </w:rPr>
        <w:t xml:space="preserve"> </w:t>
      </w:r>
      <w:r w:rsidRPr="00B83D0C">
        <w:rPr>
          <w:rFonts w:asciiTheme="minorHAnsi" w:hAnsiTheme="minorHAnsi" w:cstheme="minorHAnsi"/>
        </w:rPr>
        <w:t xml:space="preserve">time </w:t>
      </w:r>
      <w:r>
        <w:rPr>
          <w:rFonts w:asciiTheme="minorHAnsi" w:hAnsiTheme="minorHAnsi" w:cstheme="minorHAnsi"/>
        </w:rPr>
        <w:t>management, and</w:t>
      </w:r>
      <w:r w:rsidRPr="00B83D0C">
        <w:rPr>
          <w:rFonts w:asciiTheme="minorHAnsi" w:hAnsiTheme="minorHAnsi" w:cstheme="minorHAnsi"/>
        </w:rPr>
        <w:t xml:space="preserve"> stress management. </w:t>
      </w:r>
      <w:r>
        <w:rPr>
          <w:rFonts w:asciiTheme="minorHAnsi" w:hAnsiTheme="minorHAnsi" w:cstheme="minorHAnsi"/>
        </w:rPr>
        <w:t>Such personnel will also</w:t>
      </w:r>
      <w:r w:rsidRPr="00B83D0C">
        <w:rPr>
          <w:rFonts w:asciiTheme="minorHAnsi" w:hAnsiTheme="minorHAnsi" w:cstheme="minorHAnsi"/>
        </w:rPr>
        <w:t xml:space="preserve"> work individually with students who have specific academic concerns or difficulties, to help the student obtain and maintain successful strategies to ensure success in the curriculum. </w:t>
      </w:r>
    </w:p>
    <w:p w14:paraId="17288429" w14:textId="77777777" w:rsidR="009D46A3" w:rsidRPr="00B83D0C" w:rsidRDefault="009D46A3" w:rsidP="009D46A3">
      <w:pPr>
        <w:pStyle w:val="BodyText"/>
        <w:numPr>
          <w:ilvl w:val="1"/>
          <w:numId w:val="2"/>
        </w:numPr>
        <w:spacing w:before="55" w:after="160"/>
        <w:jc w:val="both"/>
        <w:rPr>
          <w:rFonts w:asciiTheme="minorHAnsi" w:hAnsiTheme="minorHAnsi" w:cstheme="minorHAnsi"/>
        </w:rPr>
      </w:pPr>
      <w:r>
        <w:rPr>
          <w:rFonts w:asciiTheme="minorHAnsi" w:hAnsiTheme="minorHAnsi" w:cstheme="minorHAnsi"/>
        </w:rPr>
        <w:t>S</w:t>
      </w:r>
      <w:r w:rsidRPr="00B83D0C">
        <w:rPr>
          <w:rFonts w:asciiTheme="minorHAnsi" w:hAnsiTheme="minorHAnsi" w:cstheme="minorHAnsi"/>
        </w:rPr>
        <w:t xml:space="preserve">tudents will be assigned an academic advisor for additional academic support and guidance, and the COM will maintain an open-door policy for students to seek guidance from trusted faculty members and administrators. </w:t>
      </w:r>
    </w:p>
    <w:p w14:paraId="0862CF25" w14:textId="77777777" w:rsidR="009D46A3" w:rsidRPr="00B83D0C" w:rsidRDefault="009D46A3" w:rsidP="009D46A3">
      <w:pPr>
        <w:pStyle w:val="BodyText"/>
        <w:numPr>
          <w:ilvl w:val="1"/>
          <w:numId w:val="2"/>
        </w:numPr>
        <w:spacing w:before="55" w:after="160"/>
        <w:jc w:val="both"/>
        <w:rPr>
          <w:rFonts w:asciiTheme="minorHAnsi" w:hAnsiTheme="minorHAnsi" w:cstheme="minorHAnsi"/>
        </w:rPr>
      </w:pPr>
      <w:r w:rsidRPr="00B83D0C">
        <w:rPr>
          <w:rFonts w:asciiTheme="minorHAnsi" w:hAnsiTheme="minorHAnsi" w:cstheme="minorHAnsi"/>
        </w:rPr>
        <w:t xml:space="preserve">The </w:t>
      </w:r>
      <w:r>
        <w:rPr>
          <w:rFonts w:asciiTheme="minorHAnsi" w:hAnsiTheme="minorHAnsi" w:cstheme="minorHAnsi"/>
        </w:rPr>
        <w:t>COM O</w:t>
      </w:r>
      <w:r w:rsidRPr="00B83D0C">
        <w:rPr>
          <w:rFonts w:asciiTheme="minorHAnsi" w:hAnsiTheme="minorHAnsi" w:cstheme="minorHAnsi"/>
        </w:rPr>
        <w:t xml:space="preserve">ffice of </w:t>
      </w:r>
      <w:r>
        <w:rPr>
          <w:rFonts w:asciiTheme="minorHAnsi" w:hAnsiTheme="minorHAnsi" w:cstheme="minorHAnsi"/>
        </w:rPr>
        <w:t>S</w:t>
      </w:r>
      <w:r w:rsidRPr="00B83D0C">
        <w:rPr>
          <w:rFonts w:asciiTheme="minorHAnsi" w:hAnsiTheme="minorHAnsi" w:cstheme="minorHAnsi"/>
        </w:rPr>
        <w:t xml:space="preserve">tudent </w:t>
      </w:r>
      <w:r>
        <w:rPr>
          <w:rFonts w:asciiTheme="minorHAnsi" w:hAnsiTheme="minorHAnsi" w:cstheme="minorHAnsi"/>
        </w:rPr>
        <w:t>Affairs</w:t>
      </w:r>
      <w:r w:rsidRPr="00B83D0C">
        <w:rPr>
          <w:rFonts w:asciiTheme="minorHAnsi" w:hAnsiTheme="minorHAnsi" w:cstheme="minorHAnsi"/>
        </w:rPr>
        <w:t xml:space="preserve"> will remain available to support students, particularly for non-academic concerns and difficulties.</w:t>
      </w:r>
    </w:p>
    <w:p w14:paraId="51B18566" w14:textId="77777777" w:rsidR="009D46A3" w:rsidRPr="00B83D0C" w:rsidRDefault="009D46A3" w:rsidP="009D46A3">
      <w:pPr>
        <w:pStyle w:val="BodyText"/>
        <w:numPr>
          <w:ilvl w:val="0"/>
          <w:numId w:val="6"/>
        </w:numPr>
        <w:spacing w:before="55" w:after="160"/>
        <w:jc w:val="both"/>
        <w:rPr>
          <w:rFonts w:asciiTheme="minorHAnsi" w:hAnsiTheme="minorHAnsi" w:cstheme="minorHAnsi"/>
          <w:b/>
        </w:rPr>
      </w:pPr>
      <w:r w:rsidRPr="00B83D0C">
        <w:rPr>
          <w:rFonts w:asciiTheme="minorHAnsi" w:hAnsiTheme="minorHAnsi" w:cstheme="minorHAnsi"/>
          <w:b/>
        </w:rPr>
        <w:t>GRADUATION</w:t>
      </w:r>
      <w:r>
        <w:rPr>
          <w:rFonts w:asciiTheme="minorHAnsi" w:hAnsiTheme="minorHAnsi" w:cstheme="minorHAnsi"/>
          <w:b/>
        </w:rPr>
        <w:t xml:space="preserve"> </w:t>
      </w:r>
    </w:p>
    <w:p w14:paraId="2257746C" w14:textId="77777777" w:rsidR="009D46A3" w:rsidRDefault="009D46A3" w:rsidP="009D46A3">
      <w:pPr>
        <w:pStyle w:val="BodyText"/>
        <w:spacing w:before="55" w:after="160"/>
        <w:ind w:left="360"/>
        <w:jc w:val="both"/>
        <w:rPr>
          <w:rFonts w:asciiTheme="minorHAnsi" w:hAnsiTheme="minorHAnsi" w:cstheme="minorHAnsi"/>
        </w:rPr>
      </w:pPr>
      <w:r>
        <w:rPr>
          <w:rFonts w:asciiTheme="minorHAnsi" w:hAnsiTheme="minorHAnsi" w:cstheme="minorHAnsi"/>
        </w:rPr>
        <w:t xml:space="preserve">To be eligible for graduation, a student must meet </w:t>
      </w:r>
      <w:r w:rsidRPr="00264839">
        <w:rPr>
          <w:rFonts w:asciiTheme="minorHAnsi" w:hAnsiTheme="minorHAnsi" w:cstheme="minorHAnsi"/>
          <w:b/>
          <w:bCs/>
          <w:u w:val="single"/>
        </w:rPr>
        <w:t>all</w:t>
      </w:r>
      <w:r>
        <w:rPr>
          <w:rFonts w:asciiTheme="minorHAnsi" w:hAnsiTheme="minorHAnsi" w:cstheme="minorHAnsi"/>
        </w:rPr>
        <w:t xml:space="preserve"> of the following criteria:</w:t>
      </w:r>
    </w:p>
    <w:p w14:paraId="101A08F6" w14:textId="77777777" w:rsidR="009D46A3" w:rsidRDefault="009D46A3" w:rsidP="009D46A3">
      <w:pPr>
        <w:pStyle w:val="BodyText"/>
        <w:numPr>
          <w:ilvl w:val="0"/>
          <w:numId w:val="5"/>
        </w:numPr>
        <w:spacing w:before="55" w:after="160"/>
        <w:jc w:val="both"/>
        <w:rPr>
          <w:rFonts w:asciiTheme="minorHAnsi" w:hAnsiTheme="minorHAnsi" w:cstheme="minorHAnsi"/>
        </w:rPr>
      </w:pPr>
      <w:r w:rsidRPr="00F9193E">
        <w:rPr>
          <w:rFonts w:asciiTheme="minorHAnsi" w:hAnsiTheme="minorHAnsi" w:cstheme="minorHAnsi"/>
        </w:rPr>
        <w:t>Successfully complete (pass) each required course in the COM curriculum.</w:t>
      </w:r>
    </w:p>
    <w:p w14:paraId="51D681E9" w14:textId="77777777" w:rsidR="009D46A3" w:rsidRDefault="009D46A3" w:rsidP="009D46A3">
      <w:pPr>
        <w:pStyle w:val="BodyText"/>
        <w:numPr>
          <w:ilvl w:val="0"/>
          <w:numId w:val="5"/>
        </w:numPr>
        <w:spacing w:before="55" w:after="160"/>
        <w:jc w:val="both"/>
        <w:rPr>
          <w:rFonts w:asciiTheme="minorHAnsi" w:hAnsiTheme="minorHAnsi" w:cstheme="minorHAnsi"/>
        </w:rPr>
      </w:pPr>
      <w:r w:rsidRPr="00F9193E">
        <w:rPr>
          <w:rFonts w:asciiTheme="minorHAnsi" w:hAnsiTheme="minorHAnsi" w:cstheme="minorHAnsi"/>
        </w:rPr>
        <w:t>Achieve a passing score on the National Board of Osteopathic Medical Examiners (NBOME) COMLEX-USA Level 1 and COMLEX-USA Level 2 CE licensing examinations within allowable attempts and timelines.</w:t>
      </w:r>
    </w:p>
    <w:p w14:paraId="2D42987E" w14:textId="77777777" w:rsidR="009D46A3" w:rsidRDefault="009D46A3" w:rsidP="009D46A3">
      <w:pPr>
        <w:pStyle w:val="BodyText"/>
        <w:numPr>
          <w:ilvl w:val="0"/>
          <w:numId w:val="5"/>
        </w:numPr>
        <w:spacing w:before="55" w:after="160"/>
        <w:jc w:val="both"/>
        <w:rPr>
          <w:rFonts w:asciiTheme="minorHAnsi" w:hAnsiTheme="minorHAnsi" w:cstheme="minorHAnsi"/>
        </w:rPr>
      </w:pPr>
      <w:r w:rsidRPr="00F9193E">
        <w:rPr>
          <w:rFonts w:asciiTheme="minorHAnsi" w:hAnsiTheme="minorHAnsi" w:cstheme="minorHAnsi"/>
        </w:rPr>
        <w:t>Meet all academic requirements and professional and ethical conduct expectations as outlined in the</w:t>
      </w:r>
      <w:r>
        <w:rPr>
          <w:rFonts w:asciiTheme="minorHAnsi" w:hAnsiTheme="minorHAnsi" w:cstheme="minorHAnsi"/>
        </w:rPr>
        <w:t xml:space="preserve"> COM</w:t>
      </w:r>
      <w:r w:rsidRPr="00F9193E">
        <w:rPr>
          <w:rFonts w:asciiTheme="minorHAnsi" w:hAnsiTheme="minorHAnsi" w:cstheme="minorHAnsi"/>
        </w:rPr>
        <w:t xml:space="preserve"> Student Handbook.</w:t>
      </w:r>
    </w:p>
    <w:p w14:paraId="6EE0F33C" w14:textId="77777777" w:rsidR="009D46A3" w:rsidRDefault="009D46A3" w:rsidP="009D46A3">
      <w:pPr>
        <w:pStyle w:val="BodyText"/>
        <w:numPr>
          <w:ilvl w:val="0"/>
          <w:numId w:val="5"/>
        </w:numPr>
        <w:spacing w:before="55" w:after="160"/>
        <w:jc w:val="both"/>
        <w:rPr>
          <w:rFonts w:asciiTheme="minorHAnsi" w:hAnsiTheme="minorHAnsi" w:cstheme="minorHAnsi"/>
        </w:rPr>
      </w:pPr>
      <w:r w:rsidRPr="00F9193E">
        <w:rPr>
          <w:rFonts w:asciiTheme="minorHAnsi" w:hAnsiTheme="minorHAnsi" w:cstheme="minorHAnsi"/>
        </w:rPr>
        <w:t>Complete all program requirements within 6 calendar years from the date of matriculation inclusive of any program extensions for any reason.</w:t>
      </w:r>
    </w:p>
    <w:p w14:paraId="46E0405B" w14:textId="1258F407" w:rsidR="009D46A3" w:rsidRDefault="009D46A3" w:rsidP="009D46A3">
      <w:pPr>
        <w:pStyle w:val="BodyText"/>
        <w:numPr>
          <w:ilvl w:val="0"/>
          <w:numId w:val="5"/>
        </w:numPr>
        <w:spacing w:before="55" w:after="160"/>
        <w:jc w:val="both"/>
        <w:rPr>
          <w:rFonts w:asciiTheme="minorHAnsi" w:hAnsiTheme="minorHAnsi" w:cstheme="minorHAnsi"/>
        </w:rPr>
      </w:pPr>
      <w:r w:rsidRPr="00264839">
        <w:rPr>
          <w:rFonts w:asciiTheme="minorHAnsi" w:hAnsiTheme="minorHAnsi" w:cstheme="minorHAnsi"/>
        </w:rPr>
        <w:t>Complete all exit paperwork that is required by the COM</w:t>
      </w:r>
      <w:r w:rsidR="00177733">
        <w:rPr>
          <w:rFonts w:asciiTheme="minorHAnsi" w:hAnsiTheme="minorHAnsi" w:cstheme="minorHAnsi"/>
        </w:rPr>
        <w:t xml:space="preserve"> and University.</w:t>
      </w:r>
    </w:p>
    <w:p w14:paraId="2411AAC4" w14:textId="2952055A" w:rsidR="009D46A3" w:rsidRPr="00264839" w:rsidRDefault="009D46A3" w:rsidP="009D46A3">
      <w:pPr>
        <w:pStyle w:val="BodyText"/>
        <w:numPr>
          <w:ilvl w:val="0"/>
          <w:numId w:val="5"/>
        </w:numPr>
        <w:spacing w:before="55" w:after="160"/>
        <w:jc w:val="both"/>
        <w:rPr>
          <w:rFonts w:asciiTheme="minorHAnsi" w:hAnsiTheme="minorHAnsi" w:cstheme="minorHAnsi"/>
        </w:rPr>
      </w:pPr>
      <w:r>
        <w:rPr>
          <w:rFonts w:asciiTheme="minorHAnsi" w:hAnsiTheme="minorHAnsi" w:cstheme="minorHAnsi"/>
        </w:rPr>
        <w:t>Satisfy</w:t>
      </w:r>
      <w:r w:rsidRPr="00264839">
        <w:rPr>
          <w:rFonts w:asciiTheme="minorHAnsi" w:hAnsiTheme="minorHAnsi" w:cstheme="minorHAnsi"/>
        </w:rPr>
        <w:t xml:space="preserve"> all financial obligations </w:t>
      </w:r>
      <w:r>
        <w:rPr>
          <w:rFonts w:asciiTheme="minorHAnsi" w:hAnsiTheme="minorHAnsi" w:cstheme="minorHAnsi"/>
        </w:rPr>
        <w:t>to</w:t>
      </w:r>
      <w:r w:rsidRPr="00264839">
        <w:rPr>
          <w:rFonts w:asciiTheme="minorHAnsi" w:hAnsiTheme="minorHAnsi" w:cstheme="minorHAnsi"/>
        </w:rPr>
        <w:t xml:space="preserve"> the COM</w:t>
      </w:r>
      <w:r w:rsidR="00177733">
        <w:rPr>
          <w:rFonts w:asciiTheme="minorHAnsi" w:hAnsiTheme="minorHAnsi" w:cstheme="minorHAnsi"/>
        </w:rPr>
        <w:t xml:space="preserve"> and University</w:t>
      </w:r>
      <w:r w:rsidRPr="00264839">
        <w:rPr>
          <w:rFonts w:asciiTheme="minorHAnsi" w:hAnsiTheme="minorHAnsi" w:cstheme="minorHAnsi"/>
        </w:rPr>
        <w:t>.</w:t>
      </w:r>
    </w:p>
    <w:p w14:paraId="54D0F486" w14:textId="77777777" w:rsidR="009D46A3" w:rsidRPr="00B83D0C" w:rsidRDefault="009D46A3" w:rsidP="009D46A3">
      <w:pPr>
        <w:pStyle w:val="BodyText"/>
        <w:spacing w:before="55" w:after="160"/>
        <w:ind w:left="1080"/>
        <w:jc w:val="both"/>
        <w:rPr>
          <w:rFonts w:asciiTheme="minorHAnsi" w:hAnsiTheme="minorHAnsi" w:cstheme="minorHAnsi"/>
        </w:rPr>
      </w:pPr>
    </w:p>
    <w:p w14:paraId="6F4191EB" w14:textId="77777777" w:rsidR="009D46A3" w:rsidRPr="00B83D0C" w:rsidRDefault="009D46A3" w:rsidP="009D46A3">
      <w:pPr>
        <w:pStyle w:val="BodyText"/>
        <w:numPr>
          <w:ilvl w:val="0"/>
          <w:numId w:val="6"/>
        </w:numPr>
        <w:spacing w:before="55" w:after="160"/>
        <w:jc w:val="both"/>
        <w:rPr>
          <w:rFonts w:asciiTheme="minorHAnsi" w:hAnsiTheme="minorHAnsi" w:cstheme="minorHAnsi"/>
          <w:b/>
        </w:rPr>
      </w:pPr>
      <w:r w:rsidRPr="00B83D0C">
        <w:rPr>
          <w:rFonts w:asciiTheme="minorHAnsi" w:hAnsiTheme="minorHAnsi" w:cstheme="minorHAnsi"/>
          <w:b/>
        </w:rPr>
        <w:t>STUDENT RIGHTS AND RESPONSIBILITIES</w:t>
      </w:r>
    </w:p>
    <w:p w14:paraId="4187CB06" w14:textId="77777777" w:rsidR="009D46A3" w:rsidRPr="00B83D0C" w:rsidRDefault="009D46A3" w:rsidP="009D46A3">
      <w:pPr>
        <w:pStyle w:val="BodyText"/>
        <w:numPr>
          <w:ilvl w:val="0"/>
          <w:numId w:val="3"/>
        </w:numPr>
        <w:spacing w:before="55" w:after="160"/>
        <w:jc w:val="both"/>
        <w:rPr>
          <w:rFonts w:asciiTheme="minorHAnsi" w:hAnsiTheme="minorHAnsi" w:cstheme="minorHAnsi"/>
          <w:b/>
          <w:u w:val="single"/>
        </w:rPr>
      </w:pPr>
      <w:r>
        <w:rPr>
          <w:rFonts w:asciiTheme="minorHAnsi" w:hAnsiTheme="minorHAnsi" w:cstheme="minorHAnsi"/>
          <w:b/>
          <w:u w:val="single"/>
        </w:rPr>
        <w:t>Student C</w:t>
      </w:r>
      <w:r w:rsidRPr="00B83D0C">
        <w:rPr>
          <w:rFonts w:asciiTheme="minorHAnsi" w:hAnsiTheme="minorHAnsi" w:cstheme="minorHAnsi"/>
          <w:b/>
          <w:u w:val="single"/>
        </w:rPr>
        <w:t>ode of Conduct</w:t>
      </w:r>
    </w:p>
    <w:p w14:paraId="11847954" w14:textId="76B211CA" w:rsidR="009D46A3" w:rsidRPr="00B83D0C" w:rsidRDefault="009D46A3" w:rsidP="009D46A3">
      <w:pPr>
        <w:pStyle w:val="BodyText"/>
        <w:spacing w:before="55"/>
        <w:ind w:left="1080"/>
        <w:jc w:val="both"/>
        <w:rPr>
          <w:rFonts w:asciiTheme="minorHAnsi" w:hAnsiTheme="minorHAnsi" w:cstheme="minorHAnsi"/>
        </w:rPr>
      </w:pPr>
      <w:r w:rsidRPr="00B83D0C">
        <w:rPr>
          <w:rFonts w:asciiTheme="minorHAnsi" w:hAnsiTheme="minorHAnsi" w:cstheme="minorHAnsi"/>
        </w:rPr>
        <w:t xml:space="preserve">As future physician leaders, </w:t>
      </w:r>
      <w:r>
        <w:rPr>
          <w:rFonts w:asciiTheme="minorHAnsi" w:hAnsiTheme="minorHAnsi" w:cstheme="minorHAnsi"/>
        </w:rPr>
        <w:t xml:space="preserve">COM </w:t>
      </w:r>
      <w:r w:rsidRPr="00B83D0C">
        <w:rPr>
          <w:rFonts w:asciiTheme="minorHAnsi" w:hAnsiTheme="minorHAnsi" w:cstheme="minorHAnsi"/>
        </w:rPr>
        <w:t>students are expected to closely follow an appropriate level of conduct and professionalism throughout their education at the COM</w:t>
      </w:r>
      <w:r>
        <w:rPr>
          <w:rFonts w:asciiTheme="minorHAnsi" w:hAnsiTheme="minorHAnsi" w:cstheme="minorHAnsi"/>
        </w:rPr>
        <w:t xml:space="preserve"> as outlined in the Policy on Student Professionalism and Conduct</w:t>
      </w:r>
      <w:r w:rsidRPr="00B83D0C">
        <w:rPr>
          <w:rFonts w:asciiTheme="minorHAnsi" w:hAnsiTheme="minorHAnsi" w:cstheme="minorHAnsi"/>
        </w:rPr>
        <w:t xml:space="preserve">. </w:t>
      </w:r>
      <w:r>
        <w:rPr>
          <w:rFonts w:asciiTheme="minorHAnsi" w:hAnsiTheme="minorHAnsi" w:cstheme="minorHAnsi"/>
        </w:rPr>
        <w:t>A</w:t>
      </w:r>
      <w:r w:rsidRPr="00B83D0C">
        <w:rPr>
          <w:rFonts w:asciiTheme="minorHAnsi" w:hAnsiTheme="minorHAnsi" w:cstheme="minorHAnsi"/>
        </w:rPr>
        <w:t xml:space="preserve">ll </w:t>
      </w:r>
      <w:r>
        <w:rPr>
          <w:rFonts w:asciiTheme="minorHAnsi" w:hAnsiTheme="minorHAnsi" w:cstheme="minorHAnsi"/>
        </w:rPr>
        <w:t xml:space="preserve">COM </w:t>
      </w:r>
      <w:r w:rsidRPr="00B83D0C">
        <w:rPr>
          <w:rFonts w:asciiTheme="minorHAnsi" w:hAnsiTheme="minorHAnsi" w:cstheme="minorHAnsi"/>
        </w:rPr>
        <w:t xml:space="preserve">students will respect the rights of others, and will follow </w:t>
      </w:r>
      <w:r>
        <w:rPr>
          <w:rFonts w:asciiTheme="minorHAnsi" w:hAnsiTheme="minorHAnsi" w:cstheme="minorHAnsi"/>
        </w:rPr>
        <w:t xml:space="preserve">the expectations set forth in the Student Professionalism and Conduct </w:t>
      </w:r>
      <w:r>
        <w:rPr>
          <w:rFonts w:asciiTheme="minorHAnsi" w:hAnsiTheme="minorHAnsi" w:cstheme="minorHAnsi"/>
        </w:rPr>
        <w:lastRenderedPageBreak/>
        <w:t>Policy.  All COM students are further expected to uphold the American Osteopathic Association’s Code of Ethics</w:t>
      </w:r>
      <w:r w:rsidR="00177733">
        <w:rPr>
          <w:rFonts w:asciiTheme="minorHAnsi" w:hAnsiTheme="minorHAnsi" w:cstheme="minorHAnsi"/>
        </w:rPr>
        <w:t xml:space="preserve">, the COM’s Policy entitled “Student Professionalism and Conduct,” </w:t>
      </w:r>
      <w:r>
        <w:rPr>
          <w:rFonts w:asciiTheme="minorHAnsi" w:hAnsiTheme="minorHAnsi" w:cstheme="minorHAnsi"/>
        </w:rPr>
        <w:t xml:space="preserve">and to comply with the University’s Student Handbook and TAPs.  COM students should be aware that they may be subject to sanctions for off-campus conduct as further described in these rules, regulations, and policies.  No Policy or Handbook referenced is intended to be a contract, and </w:t>
      </w:r>
      <w:r w:rsidR="00177733">
        <w:rPr>
          <w:rFonts w:asciiTheme="minorHAnsi" w:hAnsiTheme="minorHAnsi" w:cstheme="minorHAnsi"/>
        </w:rPr>
        <w:t>is</w:t>
      </w:r>
      <w:r>
        <w:rPr>
          <w:rFonts w:asciiTheme="minorHAnsi" w:hAnsiTheme="minorHAnsi" w:cstheme="minorHAnsi"/>
        </w:rPr>
        <w:t xml:space="preserve"> subject to change.  Students are expected to be knowledgeable about all published rules, regulations, and policies of the COM and the University. Students responsible for misconduct may be disciplined, following a hearing by the PECC Committee, as appropriate</w:t>
      </w:r>
      <w:r w:rsidRPr="00F0390B">
        <w:rPr>
          <w:rFonts w:asciiTheme="minorHAnsi" w:hAnsiTheme="minorHAnsi" w:cstheme="minorHAnsi"/>
        </w:rPr>
        <w:t>, or by the adjudicating body set forth in the University’s Student Handbook and/or applicable TAP.   Additionally, COM students are also expected to comply with all federal, state, and local laws.</w:t>
      </w:r>
      <w:r>
        <w:t xml:space="preserve"> </w:t>
      </w:r>
    </w:p>
    <w:p w14:paraId="222F3E52" w14:textId="77777777" w:rsidR="009D46A3" w:rsidRPr="0082191D" w:rsidRDefault="009D46A3" w:rsidP="009D46A3">
      <w:pPr>
        <w:pStyle w:val="BodyText"/>
        <w:numPr>
          <w:ilvl w:val="0"/>
          <w:numId w:val="3"/>
        </w:numPr>
        <w:spacing w:before="55" w:after="160"/>
        <w:jc w:val="both"/>
        <w:rPr>
          <w:rFonts w:asciiTheme="minorHAnsi" w:hAnsiTheme="minorHAnsi" w:cstheme="minorHAnsi"/>
          <w:b/>
          <w:u w:val="single"/>
        </w:rPr>
      </w:pPr>
      <w:r w:rsidRPr="0082191D">
        <w:rPr>
          <w:rFonts w:asciiTheme="minorHAnsi" w:hAnsiTheme="minorHAnsi" w:cstheme="minorHAnsi"/>
          <w:b/>
          <w:u w:val="single"/>
        </w:rPr>
        <w:t>Student Rights and Responsibilities</w:t>
      </w:r>
    </w:p>
    <w:p w14:paraId="0976891D" w14:textId="5D14F93E" w:rsidR="009D46A3" w:rsidRPr="008C3235" w:rsidRDefault="009D46A3" w:rsidP="009D46A3">
      <w:pPr>
        <w:pStyle w:val="BodyText"/>
        <w:numPr>
          <w:ilvl w:val="0"/>
          <w:numId w:val="4"/>
        </w:numPr>
        <w:spacing w:before="55" w:after="160"/>
        <w:jc w:val="both"/>
        <w:rPr>
          <w:rFonts w:cstheme="minorHAnsi"/>
        </w:rPr>
      </w:pPr>
      <w:r w:rsidRPr="0082191D">
        <w:rPr>
          <w:rFonts w:asciiTheme="minorHAnsi" w:hAnsiTheme="minorHAnsi" w:cstheme="minorHAnsi"/>
          <w:i/>
          <w:iCs/>
          <w:bdr w:val="none" w:sz="0" w:space="0" w:color="auto" w:frame="1"/>
        </w:rPr>
        <w:t>Access to Higher Education</w:t>
      </w:r>
      <w:r w:rsidRPr="0082191D">
        <w:rPr>
          <w:rFonts w:asciiTheme="minorHAnsi" w:hAnsiTheme="minorHAnsi" w:cstheme="minorHAnsi"/>
        </w:rPr>
        <w:t xml:space="preserve">: The COM shall be open to all students who are qualified according to its admission process. </w:t>
      </w:r>
      <w:r w:rsidRPr="0082191D">
        <w:rPr>
          <w:rFonts w:asciiTheme="minorHAnsi" w:eastAsiaTheme="minorEastAsia" w:hAnsiTheme="minorHAnsi" w:cstheme="minorHAnsi"/>
          <w:w w:val="105"/>
        </w:rPr>
        <w:t xml:space="preserve">Duquesne University publishes non-discrimination policies in TAPs No. </w:t>
      </w:r>
      <w:hyperlink r:id="rId7" w:history="1">
        <w:r w:rsidRPr="00177733">
          <w:rPr>
            <w:rStyle w:val="Hyperlink"/>
            <w:rFonts w:asciiTheme="minorHAnsi" w:eastAsiaTheme="minorEastAsia" w:hAnsiTheme="minorHAnsi" w:cstheme="minorHAnsi"/>
            <w:w w:val="105"/>
          </w:rPr>
          <w:t>30</w:t>
        </w:r>
      </w:hyperlink>
      <w:r w:rsidRPr="0082191D">
        <w:rPr>
          <w:rFonts w:asciiTheme="minorHAnsi" w:eastAsiaTheme="minorEastAsia" w:hAnsiTheme="minorHAnsi" w:cstheme="minorHAnsi"/>
          <w:w w:val="105"/>
        </w:rPr>
        <w:t xml:space="preserve">, </w:t>
      </w:r>
      <w:hyperlink r:id="rId8" w:history="1">
        <w:r w:rsidRPr="00177733">
          <w:rPr>
            <w:rStyle w:val="Hyperlink"/>
            <w:rFonts w:asciiTheme="minorHAnsi" w:eastAsiaTheme="minorEastAsia" w:hAnsiTheme="minorHAnsi" w:cstheme="minorHAnsi"/>
            <w:w w:val="105"/>
          </w:rPr>
          <w:t>31</w:t>
        </w:r>
      </w:hyperlink>
      <w:r w:rsidRPr="0082191D">
        <w:rPr>
          <w:rFonts w:asciiTheme="minorHAnsi" w:eastAsiaTheme="minorEastAsia" w:hAnsiTheme="minorHAnsi" w:cstheme="minorHAnsi"/>
          <w:w w:val="105"/>
        </w:rPr>
        <w:t xml:space="preserve">, and </w:t>
      </w:r>
      <w:hyperlink r:id="rId9" w:history="1">
        <w:r w:rsidRPr="00177733">
          <w:rPr>
            <w:rStyle w:val="Hyperlink"/>
            <w:rFonts w:asciiTheme="minorHAnsi" w:eastAsiaTheme="minorEastAsia" w:hAnsiTheme="minorHAnsi" w:cstheme="minorHAnsi"/>
            <w:w w:val="105"/>
          </w:rPr>
          <w:t>61</w:t>
        </w:r>
      </w:hyperlink>
      <w:r w:rsidRPr="0082191D">
        <w:rPr>
          <w:rFonts w:asciiTheme="minorHAnsi" w:eastAsiaTheme="minorEastAsia" w:hAnsiTheme="minorHAnsi" w:cstheme="minorHAnsi"/>
          <w:w w:val="105"/>
        </w:rPr>
        <w:t>.  Such Policies are consistent with Duquesne University’s requirements under applicable Federal law including Title VII and Title IX, and apply to all programs and activities of the University</w:t>
      </w:r>
      <w:r w:rsidRPr="000466EC">
        <w:rPr>
          <w:rFonts w:asciiTheme="minorHAnsi" w:eastAsiaTheme="minorEastAsia" w:hAnsiTheme="minorHAnsi" w:cstheme="minorHAnsi"/>
          <w:color w:val="1D1D1D"/>
          <w:w w:val="105"/>
        </w:rPr>
        <w:t xml:space="preserve">, including admission and employment practices.  </w:t>
      </w:r>
      <w:r w:rsidRPr="009D46A3">
        <w:rPr>
          <w:rFonts w:asciiTheme="minorHAnsi" w:hAnsiTheme="minorHAnsi" w:cstheme="minorHAnsi"/>
        </w:rPr>
        <w:t>These policies provide that, among other things, the COM will not discriminate in the selection of administrative personnel, faculty and staff, and students based on race, ethnicity, color, sex, sexual orientation, gender, gender identity, national origin, age or disabilities, and religion.</w:t>
      </w:r>
      <w:r w:rsidRPr="000466EC">
        <w:rPr>
          <w:rFonts w:asciiTheme="minorHAnsi" w:hAnsiTheme="minorHAnsi" w:cstheme="minorHAnsi"/>
        </w:rPr>
        <w:t xml:space="preserve">  See </w:t>
      </w:r>
      <w:r w:rsidRPr="008C3235">
        <w:rPr>
          <w:rFonts w:asciiTheme="minorHAnsi" w:hAnsiTheme="minorHAnsi" w:cstheme="minorHAnsi"/>
        </w:rPr>
        <w:t>also the COM’s Nondiscrimination Policy.</w:t>
      </w:r>
    </w:p>
    <w:p w14:paraId="2376CF4A" w14:textId="77777777" w:rsidR="009D46A3" w:rsidRPr="00B83D0C" w:rsidRDefault="009D46A3" w:rsidP="009D46A3">
      <w:pPr>
        <w:pStyle w:val="ListParagraph"/>
        <w:numPr>
          <w:ilvl w:val="0"/>
          <w:numId w:val="4"/>
        </w:numPr>
        <w:spacing w:after="0" w:line="240" w:lineRule="auto"/>
        <w:textAlignment w:val="baseline"/>
        <w:rPr>
          <w:rFonts w:eastAsia="Times New Roman" w:cstheme="minorHAnsi"/>
          <w:color w:val="3F4443"/>
          <w:sz w:val="24"/>
          <w:szCs w:val="24"/>
        </w:rPr>
      </w:pPr>
      <w:r w:rsidRPr="008C3235">
        <w:rPr>
          <w:rFonts w:cstheme="minorHAnsi"/>
          <w:i/>
          <w:sz w:val="24"/>
          <w:szCs w:val="24"/>
        </w:rPr>
        <w:t>Campus and Classroom</w:t>
      </w:r>
      <w:r w:rsidRPr="008C3235">
        <w:rPr>
          <w:rFonts w:eastAsia="Times New Roman" w:cstheme="minorHAnsi"/>
          <w:i/>
          <w:iCs/>
          <w:color w:val="3F4443"/>
          <w:sz w:val="24"/>
          <w:szCs w:val="24"/>
          <w:bdr w:val="none" w:sz="0" w:space="0" w:color="auto" w:frame="1"/>
        </w:rPr>
        <w:t xml:space="preserve"> Expression</w:t>
      </w:r>
      <w:r w:rsidRPr="000466EC">
        <w:rPr>
          <w:rFonts w:eastAsia="Times New Roman" w:cstheme="minorHAnsi"/>
          <w:color w:val="3F4443"/>
          <w:sz w:val="24"/>
          <w:szCs w:val="24"/>
        </w:rPr>
        <w:t xml:space="preserve">: The </w:t>
      </w:r>
      <w:r>
        <w:rPr>
          <w:rFonts w:eastAsia="Times New Roman" w:cstheme="minorHAnsi"/>
          <w:color w:val="3F4443"/>
          <w:sz w:val="24"/>
          <w:szCs w:val="24"/>
        </w:rPr>
        <w:t xml:space="preserve">University’s policy regarding Campus and Classroom Expression is set forth in the University’s Student Handbook, and is incorporated into this Policy by reference. In addition, public statements made by COM students must clearly identify that the statements are made by the speaker alone and are not intended to be </w:t>
      </w:r>
      <w:r w:rsidRPr="00B83D0C">
        <w:rPr>
          <w:rFonts w:eastAsia="Times New Roman" w:cstheme="minorHAnsi"/>
          <w:color w:val="3F4443"/>
          <w:sz w:val="24"/>
          <w:szCs w:val="24"/>
        </w:rPr>
        <w:t>represent</w:t>
      </w:r>
      <w:r>
        <w:rPr>
          <w:rFonts w:eastAsia="Times New Roman" w:cstheme="minorHAnsi"/>
          <w:color w:val="3F4443"/>
          <w:sz w:val="24"/>
          <w:szCs w:val="24"/>
        </w:rPr>
        <w:t>ative of</w:t>
      </w:r>
      <w:r w:rsidRPr="00B83D0C">
        <w:rPr>
          <w:rFonts w:eastAsia="Times New Roman" w:cstheme="minorHAnsi"/>
          <w:color w:val="3F4443"/>
          <w:sz w:val="24"/>
          <w:szCs w:val="24"/>
        </w:rPr>
        <w:t xml:space="preserve"> the COM or the University. </w:t>
      </w:r>
    </w:p>
    <w:p w14:paraId="1FFB14BD" w14:textId="77777777" w:rsidR="009D46A3" w:rsidRPr="00B83D0C" w:rsidRDefault="009D46A3" w:rsidP="009D46A3">
      <w:pPr>
        <w:spacing w:after="0" w:line="240" w:lineRule="auto"/>
        <w:textAlignment w:val="baseline"/>
        <w:rPr>
          <w:rFonts w:eastAsia="Times New Roman" w:cstheme="minorHAnsi"/>
          <w:color w:val="3F4443"/>
          <w:sz w:val="24"/>
          <w:szCs w:val="24"/>
        </w:rPr>
      </w:pPr>
    </w:p>
    <w:p w14:paraId="7E575BBE" w14:textId="57FE5E6D" w:rsidR="009D46A3" w:rsidRPr="00B83D0C" w:rsidRDefault="009D46A3" w:rsidP="009D46A3">
      <w:pPr>
        <w:numPr>
          <w:ilvl w:val="0"/>
          <w:numId w:val="4"/>
        </w:numPr>
        <w:spacing w:after="0" w:line="240" w:lineRule="auto"/>
        <w:textAlignment w:val="baseline"/>
        <w:rPr>
          <w:rFonts w:eastAsia="Times New Roman" w:cstheme="minorHAnsi"/>
          <w:color w:val="3F4443"/>
          <w:sz w:val="24"/>
          <w:szCs w:val="24"/>
        </w:rPr>
      </w:pPr>
      <w:r w:rsidRPr="00B83D0C">
        <w:rPr>
          <w:rFonts w:eastAsia="Times New Roman" w:cstheme="minorHAnsi"/>
          <w:i/>
          <w:iCs/>
          <w:color w:val="3F4443"/>
          <w:sz w:val="24"/>
          <w:szCs w:val="24"/>
          <w:bdr w:val="none" w:sz="0" w:space="0" w:color="auto" w:frame="1"/>
        </w:rPr>
        <w:t>Student Government</w:t>
      </w:r>
      <w:r w:rsidRPr="00B83D0C">
        <w:rPr>
          <w:rFonts w:eastAsia="Times New Roman" w:cstheme="minorHAnsi"/>
          <w:color w:val="3F4443"/>
          <w:sz w:val="24"/>
          <w:szCs w:val="24"/>
        </w:rPr>
        <w:t xml:space="preserve">: </w:t>
      </w:r>
      <w:r w:rsidRPr="00CB2C52">
        <w:rPr>
          <w:rFonts w:eastAsia="Times New Roman" w:cstheme="minorHAnsi"/>
          <w:color w:val="3F4443"/>
          <w:sz w:val="24"/>
          <w:szCs w:val="24"/>
        </w:rPr>
        <w:t xml:space="preserve">As constituents of the academic community, </w:t>
      </w:r>
      <w:r>
        <w:rPr>
          <w:rFonts w:eastAsia="Times New Roman" w:cstheme="minorHAnsi"/>
          <w:color w:val="3F4443"/>
          <w:sz w:val="24"/>
          <w:szCs w:val="24"/>
        </w:rPr>
        <w:t xml:space="preserve">COM </w:t>
      </w:r>
      <w:r w:rsidRPr="00CB2C52">
        <w:rPr>
          <w:rFonts w:eastAsia="Times New Roman" w:cstheme="minorHAnsi"/>
          <w:color w:val="3F4443"/>
          <w:sz w:val="24"/>
          <w:szCs w:val="24"/>
        </w:rPr>
        <w:t xml:space="preserve">students are free, individually and collectively, to express their views on issues of institutional policy and matters of general interest to the student body. </w:t>
      </w:r>
      <w:r w:rsidRPr="00B83D0C">
        <w:rPr>
          <w:rFonts w:eastAsia="Times New Roman" w:cstheme="minorHAnsi"/>
          <w:color w:val="3F4443"/>
          <w:sz w:val="24"/>
          <w:szCs w:val="24"/>
        </w:rPr>
        <w:t xml:space="preserve">Student concerns should be referred to the </w:t>
      </w:r>
      <w:r w:rsidR="00177733">
        <w:rPr>
          <w:rFonts w:eastAsia="Times New Roman" w:cstheme="minorHAnsi"/>
          <w:color w:val="3F4443"/>
          <w:sz w:val="24"/>
          <w:szCs w:val="24"/>
        </w:rPr>
        <w:t xml:space="preserve">COM’s </w:t>
      </w:r>
      <w:r w:rsidRPr="00B83D0C">
        <w:rPr>
          <w:rFonts w:eastAsia="Times New Roman" w:cstheme="minorHAnsi"/>
          <w:color w:val="3F4443"/>
          <w:sz w:val="24"/>
          <w:szCs w:val="24"/>
        </w:rPr>
        <w:t xml:space="preserve">Student Government Association officers, who will then present these concerns to the COM administration for consideration. </w:t>
      </w:r>
    </w:p>
    <w:p w14:paraId="786773FE" w14:textId="77777777" w:rsidR="009D46A3" w:rsidRPr="00B83D0C" w:rsidRDefault="009D46A3" w:rsidP="009D46A3">
      <w:pPr>
        <w:spacing w:after="0" w:line="240" w:lineRule="auto"/>
        <w:textAlignment w:val="baseline"/>
        <w:rPr>
          <w:rFonts w:eastAsia="Times New Roman" w:cstheme="minorHAnsi"/>
          <w:color w:val="3F4443"/>
          <w:sz w:val="24"/>
          <w:szCs w:val="24"/>
        </w:rPr>
      </w:pPr>
    </w:p>
    <w:p w14:paraId="33D9CDBC" w14:textId="77777777" w:rsidR="009D46A3" w:rsidRPr="00A323E7" w:rsidRDefault="009D46A3" w:rsidP="009D46A3">
      <w:pPr>
        <w:pStyle w:val="ListParagraph"/>
        <w:numPr>
          <w:ilvl w:val="0"/>
          <w:numId w:val="4"/>
        </w:numPr>
        <w:spacing w:after="0" w:line="240" w:lineRule="auto"/>
        <w:textAlignment w:val="baseline"/>
        <w:rPr>
          <w:rFonts w:eastAsia="Times New Roman" w:cstheme="minorHAnsi"/>
          <w:color w:val="3F4443"/>
          <w:sz w:val="24"/>
          <w:szCs w:val="24"/>
        </w:rPr>
      </w:pPr>
      <w:bookmarkStart w:id="1" w:name="access-to-and-release-of-student-records"/>
      <w:bookmarkEnd w:id="1"/>
      <w:r w:rsidRPr="00A323E7">
        <w:rPr>
          <w:rFonts w:eastAsia="Times New Roman" w:cstheme="minorHAnsi"/>
          <w:i/>
          <w:iCs/>
          <w:color w:val="3F4443"/>
          <w:sz w:val="24"/>
          <w:szCs w:val="24"/>
          <w:bdr w:val="none" w:sz="0" w:space="0" w:color="auto" w:frame="1"/>
        </w:rPr>
        <w:t>Access to and Release of Student Records</w:t>
      </w:r>
      <w:r w:rsidRPr="00A323E7">
        <w:rPr>
          <w:rFonts w:eastAsia="Times New Roman" w:cstheme="minorHAnsi"/>
          <w:color w:val="3F4443"/>
          <w:sz w:val="24"/>
          <w:szCs w:val="24"/>
        </w:rPr>
        <w:t xml:space="preserve">: The COM complies with The Family Educational Rights and Privacy Act of 1974 (FERPA). In accordance with FERPA, students have certain rights with respect to their education records. These rights are outlined in the Duquesne University </w:t>
      </w:r>
      <w:hyperlink r:id="rId10" w:history="1">
        <w:r w:rsidRPr="00A323E7">
          <w:rPr>
            <w:rStyle w:val="Hyperlink"/>
            <w:rFonts w:eastAsia="Times New Roman" w:cstheme="minorHAnsi"/>
            <w:sz w:val="24"/>
            <w:szCs w:val="24"/>
          </w:rPr>
          <w:t>TAP 28</w:t>
        </w:r>
      </w:hyperlink>
      <w:r w:rsidRPr="00A323E7">
        <w:rPr>
          <w:rFonts w:eastAsia="Times New Roman" w:cstheme="minorHAnsi"/>
          <w:color w:val="3F4443"/>
          <w:sz w:val="24"/>
          <w:szCs w:val="24"/>
        </w:rPr>
        <w:t>.</w:t>
      </w:r>
      <w:r w:rsidRPr="00A323E7">
        <w:rPr>
          <w:rFonts w:eastAsia="Times New Roman" w:cstheme="minorHAnsi"/>
          <w:color w:val="3F4443"/>
          <w:sz w:val="24"/>
          <w:szCs w:val="24"/>
        </w:rPr>
        <w:br/>
        <w:t> </w:t>
      </w:r>
    </w:p>
    <w:p w14:paraId="45B685E1" w14:textId="10DA9004" w:rsidR="009D46A3" w:rsidRPr="00B83D0C" w:rsidRDefault="009D46A3" w:rsidP="009D46A3">
      <w:pPr>
        <w:pStyle w:val="BodyText"/>
        <w:numPr>
          <w:ilvl w:val="0"/>
          <w:numId w:val="6"/>
        </w:numPr>
        <w:spacing w:before="55" w:after="160"/>
        <w:jc w:val="both"/>
        <w:rPr>
          <w:rFonts w:asciiTheme="minorHAnsi" w:hAnsiTheme="minorHAnsi" w:cstheme="minorHAnsi"/>
          <w:b/>
        </w:rPr>
      </w:pPr>
      <w:r w:rsidRPr="00B83D0C">
        <w:rPr>
          <w:rFonts w:asciiTheme="minorHAnsi" w:hAnsiTheme="minorHAnsi" w:cstheme="minorHAnsi"/>
          <w:b/>
        </w:rPr>
        <w:t>FILING OF</w:t>
      </w:r>
      <w:r>
        <w:rPr>
          <w:rFonts w:asciiTheme="minorHAnsi" w:hAnsiTheme="minorHAnsi" w:cstheme="minorHAnsi"/>
          <w:b/>
        </w:rPr>
        <w:t xml:space="preserve"> CERTAIN</w:t>
      </w:r>
      <w:r w:rsidRPr="00B83D0C">
        <w:rPr>
          <w:rFonts w:asciiTheme="minorHAnsi" w:hAnsiTheme="minorHAnsi" w:cstheme="minorHAnsi"/>
          <w:b/>
        </w:rPr>
        <w:t xml:space="preserve"> GRIEVANCES AND APPEALS</w:t>
      </w:r>
    </w:p>
    <w:p w14:paraId="063AE7C0" w14:textId="77777777" w:rsidR="009D46A3" w:rsidRPr="00CB2C52" w:rsidRDefault="009D46A3" w:rsidP="009D46A3">
      <w:pPr>
        <w:numPr>
          <w:ilvl w:val="1"/>
          <w:numId w:val="6"/>
        </w:numPr>
        <w:spacing w:after="0" w:line="240" w:lineRule="auto"/>
        <w:textAlignment w:val="baseline"/>
        <w:rPr>
          <w:rFonts w:eastAsia="Times New Roman" w:cstheme="minorHAnsi"/>
          <w:color w:val="3F4443"/>
          <w:sz w:val="24"/>
          <w:szCs w:val="24"/>
        </w:rPr>
      </w:pPr>
      <w:r>
        <w:rPr>
          <w:rFonts w:eastAsia="Times New Roman" w:cstheme="minorHAnsi"/>
          <w:bCs/>
          <w:color w:val="3F4443"/>
          <w:sz w:val="24"/>
          <w:szCs w:val="24"/>
          <w:bdr w:val="none" w:sz="0" w:space="0" w:color="auto" w:frame="1"/>
        </w:rPr>
        <w:lastRenderedPageBreak/>
        <w:t xml:space="preserve">For complaints related to FERPA, </w:t>
      </w:r>
      <w:r w:rsidRPr="00A323E7">
        <w:rPr>
          <w:rFonts w:eastAsia="Times New Roman" w:cstheme="minorHAnsi"/>
          <w:bCs/>
          <w:color w:val="3F4443"/>
          <w:sz w:val="24"/>
          <w:szCs w:val="24"/>
          <w:bdr w:val="none" w:sz="0" w:space="0" w:color="auto" w:frame="1"/>
        </w:rPr>
        <w:t>COM students have the option to file a complaint</w:t>
      </w:r>
      <w:r w:rsidRPr="00A323E7">
        <w:rPr>
          <w:rFonts w:eastAsia="Times New Roman" w:cstheme="minorHAnsi"/>
          <w:color w:val="3F4443"/>
          <w:sz w:val="24"/>
          <w:szCs w:val="24"/>
        </w:rPr>
        <w:t> with the U.S. Department of Education</w:t>
      </w:r>
      <w:r w:rsidRPr="00CB2C52">
        <w:rPr>
          <w:rFonts w:eastAsia="Times New Roman" w:cstheme="minorHAnsi"/>
          <w:color w:val="3F4443"/>
          <w:sz w:val="24"/>
          <w:szCs w:val="24"/>
        </w:rPr>
        <w:t>. The name and address of the Office that administers FERPA is:</w:t>
      </w:r>
    </w:p>
    <w:p w14:paraId="1CD97084" w14:textId="77777777" w:rsidR="009D46A3" w:rsidRPr="00CB2C52" w:rsidRDefault="009D46A3" w:rsidP="009D46A3">
      <w:pPr>
        <w:spacing w:before="150" w:after="150" w:line="240" w:lineRule="auto"/>
        <w:ind w:left="1440" w:firstLine="720"/>
        <w:textAlignment w:val="baseline"/>
        <w:rPr>
          <w:rFonts w:eastAsia="Times New Roman" w:cstheme="minorHAnsi"/>
          <w:color w:val="3F4443"/>
          <w:sz w:val="24"/>
          <w:szCs w:val="24"/>
        </w:rPr>
      </w:pPr>
      <w:r w:rsidRPr="00CB2C52">
        <w:rPr>
          <w:rFonts w:eastAsia="Times New Roman" w:cstheme="minorHAnsi"/>
          <w:color w:val="3F4443"/>
          <w:sz w:val="24"/>
          <w:szCs w:val="24"/>
        </w:rPr>
        <w:t>Family Policy Compliance Office</w:t>
      </w:r>
    </w:p>
    <w:p w14:paraId="5CBE4188" w14:textId="77777777" w:rsidR="009D46A3" w:rsidRPr="00CB2C52" w:rsidRDefault="009D46A3" w:rsidP="009D46A3">
      <w:pPr>
        <w:spacing w:before="150" w:after="150" w:line="240" w:lineRule="auto"/>
        <w:ind w:left="1440" w:firstLine="720"/>
        <w:textAlignment w:val="baseline"/>
        <w:rPr>
          <w:rFonts w:eastAsia="Times New Roman" w:cstheme="minorHAnsi"/>
          <w:color w:val="3F4443"/>
          <w:sz w:val="24"/>
          <w:szCs w:val="24"/>
        </w:rPr>
      </w:pPr>
      <w:r w:rsidRPr="00CB2C52">
        <w:rPr>
          <w:rFonts w:eastAsia="Times New Roman" w:cstheme="minorHAnsi"/>
          <w:color w:val="3F4443"/>
          <w:sz w:val="24"/>
          <w:szCs w:val="24"/>
        </w:rPr>
        <w:t>U.S. Department of Education</w:t>
      </w:r>
    </w:p>
    <w:p w14:paraId="09E4E67C" w14:textId="77777777" w:rsidR="009D46A3" w:rsidRPr="00CB2C52" w:rsidRDefault="009D46A3" w:rsidP="009D46A3">
      <w:pPr>
        <w:spacing w:before="150" w:after="150" w:line="240" w:lineRule="auto"/>
        <w:ind w:left="1440" w:firstLine="720"/>
        <w:textAlignment w:val="baseline"/>
        <w:rPr>
          <w:rFonts w:eastAsia="Times New Roman" w:cstheme="minorHAnsi"/>
          <w:color w:val="3F4443"/>
          <w:sz w:val="24"/>
          <w:szCs w:val="24"/>
        </w:rPr>
      </w:pPr>
      <w:r w:rsidRPr="00CB2C52">
        <w:rPr>
          <w:rFonts w:eastAsia="Times New Roman" w:cstheme="minorHAnsi"/>
          <w:color w:val="3F4443"/>
          <w:sz w:val="24"/>
          <w:szCs w:val="24"/>
        </w:rPr>
        <w:t>400 Maryland Avenue, SW</w:t>
      </w:r>
    </w:p>
    <w:p w14:paraId="2D6AE1FD" w14:textId="77777777" w:rsidR="009D46A3" w:rsidRPr="00FB55BE" w:rsidRDefault="009D46A3" w:rsidP="009D46A3">
      <w:pPr>
        <w:spacing w:before="150" w:after="150" w:line="240" w:lineRule="auto"/>
        <w:ind w:left="1440" w:firstLine="720"/>
        <w:textAlignment w:val="baseline"/>
        <w:rPr>
          <w:rFonts w:eastAsia="Times New Roman" w:cstheme="minorHAnsi"/>
          <w:color w:val="3F4443"/>
          <w:sz w:val="24"/>
          <w:szCs w:val="24"/>
        </w:rPr>
      </w:pPr>
      <w:r w:rsidRPr="00CB2C52">
        <w:rPr>
          <w:rFonts w:eastAsia="Times New Roman" w:cstheme="minorHAnsi"/>
          <w:color w:val="3F4443"/>
          <w:sz w:val="24"/>
          <w:szCs w:val="24"/>
        </w:rPr>
        <w:t>Washington, DC 20202-5901</w:t>
      </w:r>
    </w:p>
    <w:p w14:paraId="786C7090" w14:textId="0E1FBA0C" w:rsidR="009D46A3" w:rsidRDefault="009D46A3" w:rsidP="009D46A3">
      <w:pPr>
        <w:numPr>
          <w:ilvl w:val="1"/>
          <w:numId w:val="6"/>
        </w:numPr>
        <w:spacing w:after="0" w:line="240" w:lineRule="auto"/>
        <w:textAlignment w:val="baseline"/>
        <w:rPr>
          <w:rFonts w:eastAsia="Times New Roman" w:cstheme="minorHAnsi"/>
          <w:color w:val="3F4443"/>
          <w:sz w:val="24"/>
          <w:szCs w:val="24"/>
        </w:rPr>
      </w:pPr>
      <w:r>
        <w:rPr>
          <w:rFonts w:eastAsia="Times New Roman" w:cstheme="minorHAnsi"/>
          <w:color w:val="3F4443"/>
          <w:sz w:val="24"/>
          <w:szCs w:val="24"/>
        </w:rPr>
        <w:t xml:space="preserve">For complaints related to accreditation standards, students should refer to </w:t>
      </w:r>
      <w:r w:rsidR="00177733">
        <w:rPr>
          <w:rFonts w:eastAsia="Times New Roman" w:cstheme="minorHAnsi"/>
          <w:color w:val="3F4443"/>
          <w:sz w:val="24"/>
          <w:szCs w:val="24"/>
        </w:rPr>
        <w:t>the COM Policy entitled</w:t>
      </w:r>
      <w:r>
        <w:rPr>
          <w:rFonts w:eastAsia="Times New Roman" w:cstheme="minorHAnsi"/>
          <w:color w:val="3F4443"/>
          <w:sz w:val="24"/>
          <w:szCs w:val="24"/>
        </w:rPr>
        <w:t xml:space="preserve">, “Complaints Related to Accreditation Standards.” </w:t>
      </w:r>
    </w:p>
    <w:p w14:paraId="7327335A" w14:textId="77777777" w:rsidR="009D46A3" w:rsidRPr="009D46A3" w:rsidRDefault="009D46A3" w:rsidP="009D46A3">
      <w:pPr>
        <w:spacing w:after="0" w:line="240" w:lineRule="auto"/>
        <w:ind w:left="1440"/>
        <w:textAlignment w:val="baseline"/>
        <w:rPr>
          <w:rFonts w:eastAsia="Times New Roman" w:cstheme="minorHAnsi"/>
          <w:color w:val="3F4443"/>
          <w:sz w:val="24"/>
          <w:szCs w:val="24"/>
        </w:rPr>
      </w:pPr>
    </w:p>
    <w:p w14:paraId="38991369" w14:textId="33452F5B" w:rsidR="0079491C" w:rsidRPr="0079491C" w:rsidRDefault="0079491C" w:rsidP="0079491C">
      <w:pPr>
        <w:numPr>
          <w:ilvl w:val="1"/>
          <w:numId w:val="6"/>
        </w:numPr>
        <w:spacing w:after="0" w:line="240" w:lineRule="auto"/>
        <w:textAlignment w:val="baseline"/>
        <w:rPr>
          <w:rFonts w:eastAsia="Times New Roman" w:cstheme="minorHAnsi"/>
          <w:color w:val="3F4443"/>
          <w:sz w:val="24"/>
          <w:szCs w:val="24"/>
        </w:rPr>
      </w:pPr>
      <w:r>
        <w:rPr>
          <w:rFonts w:eastAsia="Times New Roman" w:cstheme="minorHAnsi"/>
          <w:iCs/>
          <w:color w:val="3F4443"/>
          <w:sz w:val="24"/>
          <w:szCs w:val="24"/>
          <w:bdr w:val="none" w:sz="0" w:space="0" w:color="auto" w:frame="1"/>
        </w:rPr>
        <w:t xml:space="preserve">For academic concerns such as grade appeals, students must bring the concern to the course director as outlined in the course governance section of the syllabus. Students may appeal decisions made by the course director to the appropriate Associate Dean. </w:t>
      </w:r>
    </w:p>
    <w:p w14:paraId="44168BF3" w14:textId="77777777" w:rsidR="0079491C" w:rsidRDefault="0079491C" w:rsidP="0079491C">
      <w:pPr>
        <w:pStyle w:val="ListParagraph"/>
        <w:rPr>
          <w:rFonts w:eastAsia="Times New Roman" w:cstheme="minorHAnsi"/>
          <w:color w:val="3F4443"/>
          <w:sz w:val="24"/>
          <w:szCs w:val="24"/>
        </w:rPr>
      </w:pPr>
    </w:p>
    <w:p w14:paraId="00367441" w14:textId="2BB909BB" w:rsidR="0079491C" w:rsidRDefault="0079491C" w:rsidP="0079491C">
      <w:pPr>
        <w:numPr>
          <w:ilvl w:val="1"/>
          <w:numId w:val="6"/>
        </w:numPr>
        <w:spacing w:after="0" w:line="240" w:lineRule="auto"/>
        <w:textAlignment w:val="baseline"/>
        <w:rPr>
          <w:rFonts w:eastAsia="Times New Roman" w:cstheme="minorHAnsi"/>
          <w:color w:val="3F4443"/>
          <w:sz w:val="24"/>
          <w:szCs w:val="24"/>
        </w:rPr>
      </w:pPr>
      <w:r>
        <w:rPr>
          <w:rFonts w:eastAsia="Times New Roman" w:cstheme="minorHAnsi"/>
          <w:color w:val="3F4443"/>
          <w:sz w:val="24"/>
          <w:szCs w:val="24"/>
        </w:rPr>
        <w:t xml:space="preserve">For grievances related to student affairs, students should bring these concerns to the COM’s </w:t>
      </w:r>
      <w:r w:rsidRPr="00B83D0C">
        <w:rPr>
          <w:rFonts w:eastAsia="Times New Roman" w:cstheme="minorHAnsi"/>
          <w:color w:val="3F4443"/>
          <w:sz w:val="24"/>
          <w:szCs w:val="24"/>
        </w:rPr>
        <w:t>Student Government Association officers</w:t>
      </w:r>
      <w:r>
        <w:rPr>
          <w:rFonts w:eastAsia="Times New Roman" w:cstheme="minorHAnsi"/>
          <w:color w:val="3F4443"/>
          <w:sz w:val="24"/>
          <w:szCs w:val="24"/>
        </w:rPr>
        <w:t xml:space="preserve"> who will bring the concerns to the COM administration. If a student feels that their concerns have not been adequately addressed through the Student Government Association officers, the student may appeal to the COM Office of Student Affairs who will seek to resolve the concern or involve the appropriate Associate Dean or the Dean as needed. </w:t>
      </w:r>
    </w:p>
    <w:p w14:paraId="3A4BEF4C" w14:textId="77777777" w:rsidR="0079491C" w:rsidRPr="0079491C" w:rsidRDefault="0079491C" w:rsidP="0079491C">
      <w:pPr>
        <w:spacing w:after="0" w:line="240" w:lineRule="auto"/>
        <w:textAlignment w:val="baseline"/>
        <w:rPr>
          <w:rFonts w:eastAsia="Times New Roman" w:cstheme="minorHAnsi"/>
          <w:color w:val="3F4443"/>
          <w:sz w:val="24"/>
          <w:szCs w:val="24"/>
        </w:rPr>
      </w:pPr>
    </w:p>
    <w:p w14:paraId="5590A765" w14:textId="7AF84289" w:rsidR="009D46A3" w:rsidRPr="00611760" w:rsidRDefault="009D46A3" w:rsidP="00611760">
      <w:pPr>
        <w:numPr>
          <w:ilvl w:val="1"/>
          <w:numId w:val="6"/>
        </w:numPr>
        <w:spacing w:after="0" w:line="240" w:lineRule="auto"/>
        <w:textAlignment w:val="baseline"/>
        <w:rPr>
          <w:rFonts w:eastAsia="Times New Roman" w:cstheme="minorHAnsi"/>
          <w:color w:val="3F4443"/>
          <w:sz w:val="24"/>
          <w:szCs w:val="24"/>
        </w:rPr>
      </w:pPr>
      <w:r w:rsidRPr="003A432D">
        <w:rPr>
          <w:rFonts w:eastAsia="Times New Roman" w:cstheme="minorHAnsi"/>
          <w:iCs/>
          <w:color w:val="3F4443"/>
          <w:sz w:val="24"/>
          <w:szCs w:val="24"/>
          <w:bdr w:val="none" w:sz="0" w:space="0" w:color="auto" w:frame="1"/>
        </w:rPr>
        <w:t xml:space="preserve">For more information about all other grievance </w:t>
      </w:r>
      <w:r w:rsidR="0079491C">
        <w:rPr>
          <w:rFonts w:eastAsia="Times New Roman" w:cstheme="minorHAnsi"/>
          <w:iCs/>
          <w:color w:val="3F4443"/>
          <w:sz w:val="24"/>
          <w:szCs w:val="24"/>
          <w:bdr w:val="none" w:sz="0" w:space="0" w:color="auto" w:frame="1"/>
        </w:rPr>
        <w:t xml:space="preserve">or appeal </w:t>
      </w:r>
      <w:r w:rsidRPr="003A432D">
        <w:rPr>
          <w:rFonts w:eastAsia="Times New Roman" w:cstheme="minorHAnsi"/>
          <w:iCs/>
          <w:color w:val="3F4443"/>
          <w:sz w:val="24"/>
          <w:szCs w:val="24"/>
          <w:bdr w:val="none" w:sz="0" w:space="0" w:color="auto" w:frame="1"/>
        </w:rPr>
        <w:t>processes</w:t>
      </w:r>
      <w:r w:rsidRPr="003A432D">
        <w:rPr>
          <w:rFonts w:eastAsia="Times New Roman" w:cstheme="minorHAnsi"/>
          <w:color w:val="3F4443"/>
          <w:sz w:val="24"/>
          <w:szCs w:val="24"/>
        </w:rPr>
        <w:t>, students</w:t>
      </w:r>
      <w:r>
        <w:rPr>
          <w:rFonts w:eastAsia="Times New Roman" w:cstheme="minorHAnsi"/>
          <w:color w:val="3F4443"/>
          <w:sz w:val="24"/>
          <w:szCs w:val="24"/>
        </w:rPr>
        <w:t xml:space="preserve"> are referred to the applicable COM or University policy. </w:t>
      </w:r>
    </w:p>
    <w:p w14:paraId="1B1A4489" w14:textId="77777777" w:rsidR="00A4726C" w:rsidRDefault="00A4726C" w:rsidP="009D46A3">
      <w:pPr>
        <w:pStyle w:val="BodyText"/>
        <w:tabs>
          <w:tab w:val="left" w:pos="2837"/>
        </w:tabs>
        <w:spacing w:before="90" w:after="160"/>
        <w:jc w:val="both"/>
        <w:rPr>
          <w:rFonts w:asciiTheme="minorHAnsi" w:hAnsiTheme="minorHAnsi" w:cstheme="minorHAnsi"/>
        </w:rPr>
      </w:pPr>
    </w:p>
    <w:p w14:paraId="31D37893" w14:textId="355BBACE" w:rsidR="009D46A3" w:rsidRPr="00B83D0C" w:rsidRDefault="009D46A3" w:rsidP="009D46A3">
      <w:pPr>
        <w:pStyle w:val="BodyText"/>
        <w:tabs>
          <w:tab w:val="left" w:pos="2837"/>
        </w:tabs>
        <w:spacing w:before="90" w:after="160"/>
        <w:jc w:val="both"/>
        <w:rPr>
          <w:rFonts w:asciiTheme="minorHAnsi" w:hAnsiTheme="minorHAnsi" w:cstheme="minorHAnsi"/>
        </w:rPr>
      </w:pPr>
      <w:r w:rsidRPr="00B83D0C">
        <w:rPr>
          <w:rFonts w:asciiTheme="minorHAnsi" w:hAnsiTheme="minorHAnsi" w:cstheme="minorHAnsi"/>
        </w:rPr>
        <w:t>Effective</w:t>
      </w:r>
      <w:r w:rsidRPr="00B83D0C">
        <w:rPr>
          <w:rFonts w:asciiTheme="minorHAnsi" w:hAnsiTheme="minorHAnsi" w:cstheme="minorHAnsi"/>
          <w:spacing w:val="-2"/>
        </w:rPr>
        <w:t xml:space="preserve"> </w:t>
      </w:r>
      <w:r w:rsidRPr="00B83D0C">
        <w:rPr>
          <w:rFonts w:asciiTheme="minorHAnsi" w:hAnsiTheme="minorHAnsi" w:cstheme="minorHAnsi"/>
        </w:rPr>
        <w:t>Date:</w:t>
      </w:r>
      <w:r w:rsidRPr="00B83D0C">
        <w:rPr>
          <w:rFonts w:asciiTheme="minorHAnsi" w:hAnsiTheme="minorHAnsi" w:cstheme="minorHAnsi"/>
        </w:rPr>
        <w:tab/>
      </w:r>
      <w:r w:rsidR="00611760">
        <w:rPr>
          <w:rFonts w:asciiTheme="minorHAnsi" w:hAnsiTheme="minorHAnsi" w:cstheme="minorHAnsi"/>
        </w:rPr>
        <w:t>11</w:t>
      </w:r>
      <w:r w:rsidRPr="00B83D0C">
        <w:rPr>
          <w:rFonts w:asciiTheme="minorHAnsi" w:hAnsiTheme="minorHAnsi" w:cstheme="minorHAnsi"/>
        </w:rPr>
        <w:t>/1/202</w:t>
      </w:r>
      <w:r>
        <w:rPr>
          <w:rFonts w:asciiTheme="minorHAnsi" w:hAnsiTheme="minorHAnsi" w:cstheme="minorHAnsi"/>
        </w:rPr>
        <w:t>2</w:t>
      </w:r>
    </w:p>
    <w:p w14:paraId="0F8AC5BE" w14:textId="1F3BF964" w:rsidR="009D46A3" w:rsidRPr="00B83D0C" w:rsidRDefault="009D46A3" w:rsidP="00611760">
      <w:pPr>
        <w:pStyle w:val="BodyText"/>
        <w:tabs>
          <w:tab w:val="left" w:pos="2820"/>
        </w:tabs>
        <w:spacing w:after="160"/>
        <w:jc w:val="both"/>
        <w:rPr>
          <w:rFonts w:asciiTheme="minorHAnsi" w:hAnsiTheme="minorHAnsi" w:cstheme="minorHAnsi"/>
        </w:rPr>
      </w:pPr>
      <w:r w:rsidRPr="00B83D0C">
        <w:rPr>
          <w:rFonts w:asciiTheme="minorHAnsi" w:hAnsiTheme="minorHAnsi" w:cstheme="minorHAnsi"/>
        </w:rPr>
        <w:t>Revised:</w:t>
      </w:r>
      <w:r w:rsidRPr="00B83D0C">
        <w:rPr>
          <w:rFonts w:asciiTheme="minorHAnsi" w:hAnsiTheme="minorHAnsi" w:cstheme="minorHAnsi"/>
        </w:rPr>
        <w:tab/>
      </w:r>
      <w:r w:rsidR="00693FFE">
        <w:rPr>
          <w:rFonts w:asciiTheme="minorHAnsi" w:hAnsiTheme="minorHAnsi" w:cstheme="minorHAnsi"/>
        </w:rPr>
        <w:tab/>
      </w:r>
      <w:r w:rsidR="00693FFE">
        <w:rPr>
          <w:rFonts w:asciiTheme="minorHAnsi" w:hAnsiTheme="minorHAnsi" w:cstheme="minorHAnsi"/>
        </w:rPr>
        <w:tab/>
      </w:r>
      <w:r w:rsidR="00693FFE">
        <w:rPr>
          <w:rFonts w:asciiTheme="minorHAnsi" w:hAnsiTheme="minorHAnsi" w:cstheme="minorHAnsi"/>
        </w:rPr>
        <w:tab/>
      </w:r>
      <w:r w:rsidRPr="00B83D0C">
        <w:rPr>
          <w:rFonts w:asciiTheme="minorHAnsi" w:hAnsiTheme="minorHAnsi" w:cstheme="minorHAnsi"/>
        </w:rPr>
        <w:t>Revision: 0</w:t>
      </w:r>
    </w:p>
    <w:p w14:paraId="3E6883F4" w14:textId="50DB75EE" w:rsidR="009D46A3" w:rsidRPr="00B83D0C" w:rsidRDefault="009D46A3" w:rsidP="00611760">
      <w:pPr>
        <w:spacing w:line="240" w:lineRule="auto"/>
        <w:jc w:val="both"/>
        <w:rPr>
          <w:rFonts w:cstheme="minorHAnsi"/>
        </w:rPr>
      </w:pPr>
    </w:p>
    <w:sectPr w:rsidR="009D46A3" w:rsidRPr="00B83D0C" w:rsidSect="006E37BA">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465E" w14:textId="77777777" w:rsidR="00C532D2" w:rsidRDefault="00C532D2">
      <w:pPr>
        <w:spacing w:after="0" w:line="240" w:lineRule="auto"/>
      </w:pPr>
      <w:r>
        <w:separator/>
      </w:r>
    </w:p>
  </w:endnote>
  <w:endnote w:type="continuationSeparator" w:id="0">
    <w:p w14:paraId="7AB44DB0" w14:textId="77777777" w:rsidR="00C532D2" w:rsidRDefault="00C5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857043"/>
      <w:docPartObj>
        <w:docPartGallery w:val="Page Numbers (Bottom of Page)"/>
        <w:docPartUnique/>
      </w:docPartObj>
    </w:sdtPr>
    <w:sdtEndPr>
      <w:rPr>
        <w:rStyle w:val="PageNumber"/>
      </w:rPr>
    </w:sdtEndPr>
    <w:sdtContent>
      <w:p w14:paraId="2AFDC131" w14:textId="05B1DB54" w:rsidR="00E10329" w:rsidRDefault="00E10329" w:rsidP="00EF0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A4960" w14:textId="77777777" w:rsidR="00E10329" w:rsidRDefault="00E10329" w:rsidP="00E10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151991"/>
      <w:docPartObj>
        <w:docPartGallery w:val="Page Numbers (Bottom of Page)"/>
        <w:docPartUnique/>
      </w:docPartObj>
    </w:sdtPr>
    <w:sdtEndPr>
      <w:rPr>
        <w:rStyle w:val="PageNumber"/>
      </w:rPr>
    </w:sdtEndPr>
    <w:sdtContent>
      <w:p w14:paraId="4C9ACFF5" w14:textId="123855DA" w:rsidR="00E10329" w:rsidRDefault="00E10329" w:rsidP="00EF0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1620A" w14:textId="77777777" w:rsidR="00E10329" w:rsidRDefault="00E10329" w:rsidP="00E10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DB22" w14:textId="77777777" w:rsidR="00C532D2" w:rsidRDefault="00C532D2">
      <w:pPr>
        <w:spacing w:after="0" w:line="240" w:lineRule="auto"/>
      </w:pPr>
      <w:r>
        <w:separator/>
      </w:r>
    </w:p>
  </w:footnote>
  <w:footnote w:type="continuationSeparator" w:id="0">
    <w:p w14:paraId="0D5F49E5" w14:textId="77777777" w:rsidR="00C532D2" w:rsidRDefault="00C5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5BB0" w14:textId="77777777" w:rsidR="00B27C5A" w:rsidRDefault="0082191D">
    <w:pPr>
      <w:pStyle w:val="Header"/>
    </w:pPr>
    <w:r>
      <w:rPr>
        <w:noProof/>
      </w:rPr>
      <w:drawing>
        <wp:inline distT="0" distB="0" distL="0" distR="0" wp14:anchorId="5662F233" wp14:editId="2CF26333">
          <wp:extent cx="1409700" cy="469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4417" cy="471472"/>
                  </a:xfrm>
                  <a:prstGeom prst="rect">
                    <a:avLst/>
                  </a:prstGeom>
                </pic:spPr>
              </pic:pic>
            </a:graphicData>
          </a:graphic>
        </wp:inline>
      </w:drawing>
    </w:r>
  </w:p>
  <w:p w14:paraId="1CE16DF2" w14:textId="77777777" w:rsidR="00B309D1" w:rsidRPr="009A483C" w:rsidRDefault="0082191D" w:rsidP="00A87004">
    <w:pPr>
      <w:pStyle w:val="Header"/>
      <w:jc w:val="center"/>
      <w:rPr>
        <w:color w:val="4472C4" w:themeColor="accent1"/>
        <w:sz w:val="32"/>
        <w:szCs w:val="32"/>
      </w:rPr>
    </w:pPr>
    <w:r w:rsidRPr="009A483C">
      <w:rPr>
        <w:color w:val="4472C4" w:themeColor="accent1"/>
        <w:sz w:val="32"/>
        <w:szCs w:val="32"/>
      </w:rPr>
      <w:t>Academic Standards</w:t>
    </w:r>
  </w:p>
  <w:p w14:paraId="0F438BE6" w14:textId="77777777" w:rsidR="00786E98" w:rsidRDefault="0082191D">
    <w:pPr>
      <w:pStyle w:val="Header"/>
    </w:pPr>
    <w:r>
      <w:t>___________________________________________________________________________________________</w:t>
    </w:r>
  </w:p>
  <w:p w14:paraId="2D5AA5C3" w14:textId="77777777" w:rsidR="00786E98" w:rsidRDefault="0082191D" w:rsidP="00786E98">
    <w:pPr>
      <w:pStyle w:val="Header"/>
      <w:ind w:left="3600"/>
      <w:rPr>
        <w:sz w:val="32"/>
        <w:szCs w:val="32"/>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1AB0"/>
    <w:multiLevelType w:val="hybridMultilevel"/>
    <w:tmpl w:val="207A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41980"/>
    <w:multiLevelType w:val="hybridMultilevel"/>
    <w:tmpl w:val="A05087BE"/>
    <w:lvl w:ilvl="0" w:tplc="1160DF08">
      <w:start w:val="1"/>
      <w:numFmt w:val="low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70E0C"/>
    <w:multiLevelType w:val="hybridMultilevel"/>
    <w:tmpl w:val="98464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0CA"/>
    <w:multiLevelType w:val="hybridMultilevel"/>
    <w:tmpl w:val="E75C6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D269CA"/>
    <w:multiLevelType w:val="hybridMultilevel"/>
    <w:tmpl w:val="F022E730"/>
    <w:lvl w:ilvl="0" w:tplc="A2A04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36528"/>
    <w:multiLevelType w:val="hybridMultilevel"/>
    <w:tmpl w:val="FC562ED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D357B"/>
    <w:multiLevelType w:val="hybridMultilevel"/>
    <w:tmpl w:val="BF64EF46"/>
    <w:lvl w:ilvl="0" w:tplc="41384EB4">
      <w:start w:val="1"/>
      <w:numFmt w:val="bullet"/>
      <w:lvlText w:val=""/>
      <w:lvlJc w:val="left"/>
      <w:pPr>
        <w:ind w:left="1440" w:hanging="360"/>
      </w:pPr>
      <w:rPr>
        <w:rFonts w:ascii="Symbol" w:hAnsi="Symbol" w:hint="default"/>
      </w:rPr>
    </w:lvl>
    <w:lvl w:ilvl="1" w:tplc="E2EAB55A" w:tentative="1">
      <w:start w:val="1"/>
      <w:numFmt w:val="bullet"/>
      <w:lvlText w:val="o"/>
      <w:lvlJc w:val="left"/>
      <w:pPr>
        <w:ind w:left="2160" w:hanging="360"/>
      </w:pPr>
      <w:rPr>
        <w:rFonts w:ascii="Courier New" w:hAnsi="Courier New" w:cs="Courier New" w:hint="default"/>
      </w:rPr>
    </w:lvl>
    <w:lvl w:ilvl="2" w:tplc="D4E4E340" w:tentative="1">
      <w:start w:val="1"/>
      <w:numFmt w:val="bullet"/>
      <w:lvlText w:val=""/>
      <w:lvlJc w:val="left"/>
      <w:pPr>
        <w:ind w:left="2880" w:hanging="360"/>
      </w:pPr>
      <w:rPr>
        <w:rFonts w:ascii="Wingdings" w:hAnsi="Wingdings" w:hint="default"/>
      </w:rPr>
    </w:lvl>
    <w:lvl w:ilvl="3" w:tplc="BF327F4C" w:tentative="1">
      <w:start w:val="1"/>
      <w:numFmt w:val="bullet"/>
      <w:lvlText w:val=""/>
      <w:lvlJc w:val="left"/>
      <w:pPr>
        <w:ind w:left="3600" w:hanging="360"/>
      </w:pPr>
      <w:rPr>
        <w:rFonts w:ascii="Symbol" w:hAnsi="Symbol" w:hint="default"/>
      </w:rPr>
    </w:lvl>
    <w:lvl w:ilvl="4" w:tplc="07522446" w:tentative="1">
      <w:start w:val="1"/>
      <w:numFmt w:val="bullet"/>
      <w:lvlText w:val="o"/>
      <w:lvlJc w:val="left"/>
      <w:pPr>
        <w:ind w:left="4320" w:hanging="360"/>
      </w:pPr>
      <w:rPr>
        <w:rFonts w:ascii="Courier New" w:hAnsi="Courier New" w:cs="Courier New" w:hint="default"/>
      </w:rPr>
    </w:lvl>
    <w:lvl w:ilvl="5" w:tplc="D3EC8D52" w:tentative="1">
      <w:start w:val="1"/>
      <w:numFmt w:val="bullet"/>
      <w:lvlText w:val=""/>
      <w:lvlJc w:val="left"/>
      <w:pPr>
        <w:ind w:left="5040" w:hanging="360"/>
      </w:pPr>
      <w:rPr>
        <w:rFonts w:ascii="Wingdings" w:hAnsi="Wingdings" w:hint="default"/>
      </w:rPr>
    </w:lvl>
    <w:lvl w:ilvl="6" w:tplc="286AB746" w:tentative="1">
      <w:start w:val="1"/>
      <w:numFmt w:val="bullet"/>
      <w:lvlText w:val=""/>
      <w:lvlJc w:val="left"/>
      <w:pPr>
        <w:ind w:left="5760" w:hanging="360"/>
      </w:pPr>
      <w:rPr>
        <w:rFonts w:ascii="Symbol" w:hAnsi="Symbol" w:hint="default"/>
      </w:rPr>
    </w:lvl>
    <w:lvl w:ilvl="7" w:tplc="99888062" w:tentative="1">
      <w:start w:val="1"/>
      <w:numFmt w:val="bullet"/>
      <w:lvlText w:val="o"/>
      <w:lvlJc w:val="left"/>
      <w:pPr>
        <w:ind w:left="6480" w:hanging="360"/>
      </w:pPr>
      <w:rPr>
        <w:rFonts w:ascii="Courier New" w:hAnsi="Courier New" w:cs="Courier New" w:hint="default"/>
      </w:rPr>
    </w:lvl>
    <w:lvl w:ilvl="8" w:tplc="BB8EC496" w:tentative="1">
      <w:start w:val="1"/>
      <w:numFmt w:val="bullet"/>
      <w:lvlText w:val=""/>
      <w:lvlJc w:val="left"/>
      <w:pPr>
        <w:ind w:left="7200" w:hanging="360"/>
      </w:pPr>
      <w:rPr>
        <w:rFonts w:ascii="Wingdings" w:hAnsi="Wingdings" w:hint="default"/>
      </w:rPr>
    </w:lvl>
  </w:abstractNum>
  <w:abstractNum w:abstractNumId="7" w15:restartNumberingAfterBreak="0">
    <w:nsid w:val="7F4D0955"/>
    <w:multiLevelType w:val="hybridMultilevel"/>
    <w:tmpl w:val="77CC376C"/>
    <w:lvl w:ilvl="0" w:tplc="697AE3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EFE15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wMDc3tzQzNzYwMDBS0lEKTi0uzszPAykwrAUAu/EJuywAAAA="/>
  </w:docVars>
  <w:rsids>
    <w:rsidRoot w:val="009D46A3"/>
    <w:rsid w:val="000D3470"/>
    <w:rsid w:val="00177733"/>
    <w:rsid w:val="001E7749"/>
    <w:rsid w:val="00225683"/>
    <w:rsid w:val="002F5F75"/>
    <w:rsid w:val="00311B09"/>
    <w:rsid w:val="00354696"/>
    <w:rsid w:val="003F45F0"/>
    <w:rsid w:val="004A7E4D"/>
    <w:rsid w:val="00520D12"/>
    <w:rsid w:val="005A1EA0"/>
    <w:rsid w:val="00611760"/>
    <w:rsid w:val="00626E98"/>
    <w:rsid w:val="006819C7"/>
    <w:rsid w:val="00693FFE"/>
    <w:rsid w:val="0079491C"/>
    <w:rsid w:val="007B6B20"/>
    <w:rsid w:val="007E2486"/>
    <w:rsid w:val="0082191D"/>
    <w:rsid w:val="008772FF"/>
    <w:rsid w:val="008F4D01"/>
    <w:rsid w:val="00943CB7"/>
    <w:rsid w:val="009D46A3"/>
    <w:rsid w:val="00A4726C"/>
    <w:rsid w:val="00C532D2"/>
    <w:rsid w:val="00CF06B6"/>
    <w:rsid w:val="00DD38BD"/>
    <w:rsid w:val="00E10329"/>
    <w:rsid w:val="00EA46FC"/>
    <w:rsid w:val="00ED6631"/>
    <w:rsid w:val="00E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EE0C"/>
  <w15:chartTrackingRefBased/>
  <w15:docId w15:val="{87B36103-FF44-43EA-8EF1-29D8CF4F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6A3"/>
  </w:style>
  <w:style w:type="paragraph" w:styleId="Heading9">
    <w:name w:val="heading 9"/>
    <w:basedOn w:val="Normal"/>
    <w:link w:val="Heading9Char"/>
    <w:uiPriority w:val="1"/>
    <w:qFormat/>
    <w:rsid w:val="009D46A3"/>
    <w:pPr>
      <w:widowControl w:val="0"/>
      <w:autoSpaceDE w:val="0"/>
      <w:autoSpaceDN w:val="0"/>
      <w:spacing w:after="0" w:line="240" w:lineRule="auto"/>
      <w:ind w:left="1506"/>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9D46A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D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A3"/>
  </w:style>
  <w:style w:type="paragraph" w:styleId="ListParagraph">
    <w:name w:val="List Paragraph"/>
    <w:basedOn w:val="Normal"/>
    <w:uiPriority w:val="1"/>
    <w:qFormat/>
    <w:rsid w:val="009D46A3"/>
    <w:pPr>
      <w:ind w:left="720"/>
      <w:contextualSpacing/>
    </w:pPr>
  </w:style>
  <w:style w:type="paragraph" w:styleId="BodyText">
    <w:name w:val="Body Text"/>
    <w:basedOn w:val="Normal"/>
    <w:link w:val="BodyTextChar"/>
    <w:uiPriority w:val="1"/>
    <w:qFormat/>
    <w:rsid w:val="009D46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46A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46A3"/>
    <w:rPr>
      <w:sz w:val="16"/>
      <w:szCs w:val="16"/>
    </w:rPr>
  </w:style>
  <w:style w:type="paragraph" w:styleId="CommentText">
    <w:name w:val="annotation text"/>
    <w:basedOn w:val="Normal"/>
    <w:link w:val="CommentTextChar"/>
    <w:uiPriority w:val="99"/>
    <w:semiHidden/>
    <w:unhideWhenUsed/>
    <w:rsid w:val="009D46A3"/>
    <w:pPr>
      <w:spacing w:line="240" w:lineRule="auto"/>
    </w:pPr>
    <w:rPr>
      <w:sz w:val="20"/>
      <w:szCs w:val="20"/>
    </w:rPr>
  </w:style>
  <w:style w:type="character" w:customStyle="1" w:styleId="CommentTextChar">
    <w:name w:val="Comment Text Char"/>
    <w:basedOn w:val="DefaultParagraphFont"/>
    <w:link w:val="CommentText"/>
    <w:uiPriority w:val="99"/>
    <w:semiHidden/>
    <w:rsid w:val="009D46A3"/>
    <w:rPr>
      <w:sz w:val="20"/>
      <w:szCs w:val="20"/>
    </w:rPr>
  </w:style>
  <w:style w:type="character" w:styleId="Hyperlink">
    <w:name w:val="Hyperlink"/>
    <w:basedOn w:val="DefaultParagraphFont"/>
    <w:uiPriority w:val="99"/>
    <w:unhideWhenUsed/>
    <w:rsid w:val="009D46A3"/>
    <w:rPr>
      <w:color w:val="0000FF"/>
      <w:u w:val="single"/>
    </w:rPr>
  </w:style>
  <w:style w:type="table" w:styleId="TableGrid">
    <w:name w:val="Table Grid"/>
    <w:basedOn w:val="TableNormal"/>
    <w:uiPriority w:val="39"/>
    <w:rsid w:val="009D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72FF"/>
    <w:rPr>
      <w:b/>
      <w:bCs/>
    </w:rPr>
  </w:style>
  <w:style w:type="character" w:customStyle="1" w:styleId="CommentSubjectChar">
    <w:name w:val="Comment Subject Char"/>
    <w:basedOn w:val="CommentTextChar"/>
    <w:link w:val="CommentSubject"/>
    <w:uiPriority w:val="99"/>
    <w:semiHidden/>
    <w:rsid w:val="008772FF"/>
    <w:rPr>
      <w:b/>
      <w:bCs/>
      <w:sz w:val="20"/>
      <w:szCs w:val="20"/>
    </w:rPr>
  </w:style>
  <w:style w:type="character" w:styleId="UnresolvedMention">
    <w:name w:val="Unresolved Mention"/>
    <w:basedOn w:val="DefaultParagraphFont"/>
    <w:uiPriority w:val="99"/>
    <w:semiHidden/>
    <w:unhideWhenUsed/>
    <w:rsid w:val="00177733"/>
    <w:rPr>
      <w:color w:val="605E5C"/>
      <w:shd w:val="clear" w:color="auto" w:fill="E1DFDD"/>
    </w:rPr>
  </w:style>
  <w:style w:type="paragraph" w:styleId="Footer">
    <w:name w:val="footer"/>
    <w:basedOn w:val="Normal"/>
    <w:link w:val="FooterChar"/>
    <w:uiPriority w:val="99"/>
    <w:unhideWhenUsed/>
    <w:rsid w:val="00E1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329"/>
  </w:style>
  <w:style w:type="character" w:styleId="PageNumber">
    <w:name w:val="page number"/>
    <w:basedOn w:val="DefaultParagraphFont"/>
    <w:uiPriority w:val="99"/>
    <w:semiHidden/>
    <w:unhideWhenUsed/>
    <w:rsid w:val="00E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6889">
      <w:bodyDiv w:val="1"/>
      <w:marLeft w:val="0"/>
      <w:marRight w:val="0"/>
      <w:marTop w:val="0"/>
      <w:marBottom w:val="0"/>
      <w:divBdr>
        <w:top w:val="none" w:sz="0" w:space="0" w:color="auto"/>
        <w:left w:val="none" w:sz="0" w:space="0" w:color="auto"/>
        <w:bottom w:val="none" w:sz="0" w:space="0" w:color="auto"/>
        <w:right w:val="none" w:sz="0" w:space="0" w:color="auto"/>
      </w:divBdr>
    </w:div>
    <w:div w:id="1155954318">
      <w:bodyDiv w:val="1"/>
      <w:marLeft w:val="0"/>
      <w:marRight w:val="0"/>
      <w:marTop w:val="0"/>
      <w:marBottom w:val="0"/>
      <w:divBdr>
        <w:top w:val="none" w:sz="0" w:space="0" w:color="auto"/>
        <w:left w:val="none" w:sz="0" w:space="0" w:color="auto"/>
        <w:bottom w:val="none" w:sz="0" w:space="0" w:color="auto"/>
        <w:right w:val="none" w:sz="0" w:space="0" w:color="auto"/>
      </w:divBdr>
    </w:div>
    <w:div w:id="2066755194">
      <w:bodyDiv w:val="1"/>
      <w:marLeft w:val="0"/>
      <w:marRight w:val="0"/>
      <w:marTop w:val="0"/>
      <w:marBottom w:val="0"/>
      <w:divBdr>
        <w:top w:val="none" w:sz="0" w:space="0" w:color="auto"/>
        <w:left w:val="none" w:sz="0" w:space="0" w:color="auto"/>
        <w:bottom w:val="none" w:sz="0" w:space="0" w:color="auto"/>
        <w:right w:val="none" w:sz="0" w:space="0" w:color="auto"/>
      </w:divBdr>
    </w:div>
    <w:div w:id="21307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q.edu/work-at-du/human-resources-home/the-administrative-policies-(taps)/31-sexual-misconduct-and-gender-discrimin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uq.edu/work-at-du/human-resources-home/the-administrative-policies-(taps)/30-affirmative-action-equal-educational-and-employment-opportunity-and-human-relations-in-the-workplace-and-classr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uq.edu/work-at-du/human-resources-home/the-administrative-policies-(taps)/28-family-educational-rights-and-privacy-act-(ferpa)" TargetMode="External"/><Relationship Id="rId4" Type="http://schemas.openxmlformats.org/officeDocument/2006/relationships/webSettings" Target="webSettings.xml"/><Relationship Id="rId9" Type="http://schemas.openxmlformats.org/officeDocument/2006/relationships/hyperlink" Target="https://www.duq.edu/work-at-du/human-resources-home/the-administrative-policies-(taps)/61-interim-policy-on-title-ix-sexual-harass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Fink</dc:creator>
  <cp:keywords/>
  <dc:description/>
  <cp:lastModifiedBy>Dr. Mary Prater</cp:lastModifiedBy>
  <cp:revision>10</cp:revision>
  <dcterms:created xsi:type="dcterms:W3CDTF">2022-06-17T20:10:00Z</dcterms:created>
  <dcterms:modified xsi:type="dcterms:W3CDTF">2022-07-07T16:04:00Z</dcterms:modified>
</cp:coreProperties>
</file>